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A32B967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bookmarkStart w:id="0" w:name="_Toc90044252"/>
      <w:bookmarkStart w:id="1" w:name="_Toc102208947"/>
      <w:bookmarkStart w:id="2" w:name="_Hlk31570184"/>
      <w:r>
        <w:rPr>
          <w:lang w:eastAsia="ru-RU"/>
        </w:rPr>
        <w:drawing>
          <wp:inline distT="0" distB="0" distL="0" distR="0">
            <wp:extent cx="815340" cy="1036320"/>
            <wp:effectExtent l="0" t="0" r="381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FF8958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</w:p>
    <w:p w14:paraId="7444E881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РОССИЙСКАЯ ФЕДЕРАЦИЯ </w:t>
      </w:r>
    </w:p>
    <w:p w14:paraId="1298A084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САМАРСКАЯ ОБЛАСТЬ</w:t>
      </w:r>
    </w:p>
    <w:p w14:paraId="0452A0FA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МУНИЦИПАЛЬНЫЙ РАЙОН СТАВРОПОЛЬСКИЙ</w:t>
      </w:r>
    </w:p>
    <w:p w14:paraId="70F6530F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АДМИНИСТРАЦИЯ СЕЛЬСКОГО ПОСЕЛЕНИЯ ПОДСТЕПКИ</w:t>
      </w:r>
    </w:p>
    <w:p w14:paraId="34DD6827">
      <w:pPr>
        <w:jc w:val="center"/>
        <w:rPr>
          <w:sz w:val="18"/>
          <w:szCs w:val="18"/>
          <w:u w:val="single"/>
        </w:rPr>
      </w:pPr>
    </w:p>
    <w:p w14:paraId="2CF163D4">
      <w:pPr>
        <w:jc w:val="center"/>
        <w:rPr>
          <w:sz w:val="18"/>
          <w:szCs w:val="18"/>
          <w:u w:val="single"/>
        </w:rPr>
      </w:pPr>
    </w:p>
    <w:p w14:paraId="438F96AE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РАСПОРЯЖЕНИЕ</w:t>
      </w:r>
    </w:p>
    <w:p w14:paraId="769462CE">
      <w:pPr>
        <w:jc w:val="center"/>
        <w:rPr>
          <w:rFonts w:ascii="MS Reference Sans Serif" w:hAnsi="MS Reference Sans Serif" w:cs="Tunga"/>
          <w:b/>
          <w:sz w:val="32"/>
          <w:szCs w:val="32"/>
        </w:rPr>
      </w:pPr>
    </w:p>
    <w:p w14:paraId="359F719F">
      <w:r>
        <w:t>«</w:t>
      </w:r>
      <w:r>
        <w:rPr>
          <w:rFonts w:hint="default"/>
          <w:lang w:val="ru-RU"/>
        </w:rPr>
        <w:t>26</w:t>
      </w:r>
      <w:r>
        <w:t xml:space="preserve">» </w:t>
      </w:r>
      <w:r>
        <w:rPr>
          <w:lang w:val="ru-RU"/>
        </w:rPr>
        <w:t>декабря</w:t>
      </w:r>
      <w:r>
        <w:rPr>
          <w:rFonts w:hint="default"/>
          <w:lang w:val="ru-RU"/>
        </w:rPr>
        <w:t xml:space="preserve"> </w:t>
      </w:r>
      <w:r>
        <w:t>202</w:t>
      </w:r>
      <w:r>
        <w:rPr>
          <w:rFonts w:hint="default"/>
          <w:lang w:val="ru-RU"/>
        </w:rPr>
        <w:t>5</w:t>
      </w:r>
      <w:r>
        <w:t xml:space="preserve"> года                                                                             </w:t>
      </w:r>
      <w:r>
        <w:tab/>
      </w:r>
      <w:r>
        <w:tab/>
      </w:r>
      <w:r>
        <w:t xml:space="preserve">                № 3/АК</w:t>
      </w:r>
    </w:p>
    <w:p w14:paraId="40D6B31C">
      <w:pPr>
        <w:jc w:val="center"/>
        <w:rPr>
          <w:rFonts w:eastAsia="Calibri"/>
          <w:b/>
        </w:rPr>
      </w:pPr>
    </w:p>
    <w:p w14:paraId="37534DA3">
      <w:pPr>
        <w:ind w:left="357"/>
        <w:jc w:val="center"/>
        <w:rPr>
          <w:b/>
        </w:rPr>
      </w:pPr>
      <w:r>
        <w:rPr>
          <w:b/>
        </w:rPr>
        <w:t xml:space="preserve">Об утверждении карты комплаенс-рисков в администрации сельского поселения Подстепки муниципального района Ставропольский Самарской области </w:t>
      </w:r>
    </w:p>
    <w:p w14:paraId="11D6400F">
      <w:pPr>
        <w:ind w:left="357"/>
        <w:jc w:val="center"/>
        <w:rPr>
          <w:b/>
        </w:rPr>
      </w:pPr>
      <w:r>
        <w:rPr>
          <w:b/>
        </w:rPr>
        <w:t xml:space="preserve">на 2026 год </w:t>
      </w:r>
    </w:p>
    <w:p w14:paraId="7BB138E8">
      <w:pPr>
        <w:ind w:left="357"/>
        <w:jc w:val="center"/>
        <w:rPr>
          <w:b/>
        </w:rPr>
      </w:pPr>
    </w:p>
    <w:p w14:paraId="1A5E29C9">
      <w:pPr>
        <w:widowControl w:val="0"/>
        <w:autoSpaceDE w:val="0"/>
        <w:autoSpaceDN w:val="0"/>
        <w:ind w:firstLine="357"/>
        <w:jc w:val="both"/>
        <w:rPr>
          <w:lang w:eastAsia="ru-RU"/>
        </w:rPr>
      </w:pPr>
      <w:r>
        <w:rPr>
          <w:lang w:eastAsia="ru-RU"/>
        </w:rPr>
        <w:t>В</w:t>
      </w:r>
      <w:r>
        <w:rPr>
          <w:color w:val="000000"/>
          <w:lang w:eastAsia="ru-RU"/>
        </w:rPr>
        <w:t xml:space="preserve"> соответствии с </w:t>
      </w:r>
      <w:r>
        <w:rPr>
          <w:lang w:eastAsia="ru-RU"/>
        </w:rPr>
        <w:t>Федеральным законом от 20.03.2025 № 33-ФЗ «Об общих принципах организации местного самоуправления в единой системе публичной власти», Уставом сельского поселения Подстепки муниципального района Ставропольский Самарской области, пунктом 3.3</w:t>
      </w:r>
      <w:r>
        <w:rPr>
          <w:b/>
          <w:lang w:eastAsia="ru-RU"/>
        </w:rPr>
        <w:t xml:space="preserve"> </w:t>
      </w:r>
      <w:r>
        <w:rPr>
          <w:lang w:eastAsia="ru-RU"/>
        </w:rPr>
        <w:t>Положения об организации системы внутреннего  обеспечения соответствия требованиям антимонопольного  законодательства (антимонопольного комплаенса) в администрации сельского поселения Подстепки  муниципального района Ставропольский  Самарской области, утвержденного распоряжением администрации сельского поселения Подстепки муниципального района Ставропольский Самарской области от 22.11.2022 № 881</w:t>
      </w:r>
    </w:p>
    <w:p w14:paraId="6F147F6D">
      <w:pPr>
        <w:widowControl w:val="0"/>
        <w:autoSpaceDE w:val="0"/>
        <w:autoSpaceDN w:val="0"/>
        <w:ind w:firstLine="357"/>
        <w:jc w:val="both"/>
        <w:rPr>
          <w:lang w:eastAsia="ru-RU"/>
        </w:rPr>
      </w:pPr>
    </w:p>
    <w:p w14:paraId="14C92DDE">
      <w:pPr>
        <w:ind w:firstLine="709"/>
        <w:jc w:val="both"/>
      </w:pPr>
      <w:r>
        <w:t>1. Утвердить прилагаемую карту комплаенс-рисков в администрации сельского поселения Подстепки</w:t>
      </w:r>
      <w:r>
        <w:rPr>
          <w:b/>
        </w:rPr>
        <w:t xml:space="preserve"> </w:t>
      </w:r>
      <w:r>
        <w:t>муниципального района Ставропольский Самарской области на 2026 год.</w:t>
      </w:r>
    </w:p>
    <w:p w14:paraId="04F16BE1">
      <w:pPr>
        <w:ind w:firstLine="709"/>
        <w:jc w:val="both"/>
      </w:pPr>
      <w:r>
        <w:t>2. Должностным лицам администрации сельского поселения Подстепки муниципального района Ставропольский Самарской области на постоянной основе проводить работу по минимизации и устранению комплаенс-рисков в администрации сельского поселения Подстепки муниципального района Ставропольский Самарской области, утвержденных настоящим распоряжением.</w:t>
      </w:r>
    </w:p>
    <w:p w14:paraId="3CC43C21">
      <w:pPr>
        <w:ind w:firstLine="709"/>
        <w:jc w:val="both"/>
      </w:pPr>
      <w:r>
        <w:t>3. Опубликовать настоящее распоряжение на официальном сайте администрации  сельского поселения Подстепки муниципального района Ставропольский Самарской области в информационно-телекоммуникационной сети Интернет.</w:t>
      </w:r>
    </w:p>
    <w:p w14:paraId="4F4389F7">
      <w:pPr>
        <w:ind w:firstLine="709"/>
        <w:jc w:val="both"/>
      </w:pPr>
      <w:r>
        <w:t>4. Контроль за исполнением настоящего распоряжения оставляю за собой.</w:t>
      </w:r>
    </w:p>
    <w:p w14:paraId="232E0CA8">
      <w:pPr>
        <w:jc w:val="center"/>
        <w:rPr>
          <w:rFonts w:eastAsia="Calibri"/>
          <w:b/>
        </w:rPr>
      </w:pPr>
    </w:p>
    <w:p w14:paraId="40551F46">
      <w:pPr>
        <w:ind w:firstLine="709"/>
        <w:jc w:val="both"/>
        <w:rPr>
          <w:rFonts w:eastAsia="Calibri"/>
        </w:rPr>
      </w:pPr>
    </w:p>
    <w:p w14:paraId="1C9DA2BD">
      <w:pPr>
        <w:ind w:firstLine="708"/>
        <w:jc w:val="both"/>
        <w:rPr>
          <w:rFonts w:eastAsia="Calibri"/>
        </w:rPr>
      </w:pPr>
    </w:p>
    <w:tbl>
      <w:tblPr>
        <w:tblStyle w:val="22"/>
        <w:tblW w:w="11733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39"/>
        <w:gridCol w:w="2694"/>
      </w:tblGrid>
      <w:tr w14:paraId="255730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39" w:type="dxa"/>
          </w:tcPr>
          <w:p w14:paraId="6678EC1F">
            <w:pPr>
              <w:ind w:left="714" w:hanging="714"/>
              <w:jc w:val="both"/>
            </w:pPr>
            <w:r>
              <w:t>Глава</w:t>
            </w:r>
          </w:p>
          <w:p w14:paraId="48075BB2">
            <w:pPr>
              <w:ind w:left="714" w:hanging="714"/>
              <w:jc w:val="both"/>
            </w:pPr>
            <w:r>
              <w:t>сельского поселения Подстепки</w:t>
            </w:r>
          </w:p>
          <w:p w14:paraId="5D558DDC">
            <w:pPr>
              <w:ind w:left="714" w:hanging="714"/>
              <w:jc w:val="both"/>
            </w:pPr>
            <w:r>
              <w:t xml:space="preserve">муниципального района Ставропольский </w:t>
            </w:r>
          </w:p>
          <w:p w14:paraId="363014BA">
            <w:pPr>
              <w:ind w:left="714" w:hanging="714"/>
              <w:jc w:val="both"/>
            </w:pPr>
            <w:r>
              <w:t>Самарской области                                        ______________________О.В. Зюзин</w:t>
            </w:r>
          </w:p>
          <w:p w14:paraId="6D97FB4F">
            <w:pPr>
              <w:ind w:left="714" w:hanging="714"/>
              <w:jc w:val="both"/>
            </w:pPr>
          </w:p>
          <w:p w14:paraId="7A90FA6F">
            <w:pPr>
              <w:ind w:left="714" w:hanging="714"/>
              <w:jc w:val="both"/>
            </w:pPr>
          </w:p>
        </w:tc>
        <w:tc>
          <w:tcPr>
            <w:tcW w:w="2694" w:type="dxa"/>
          </w:tcPr>
          <w:p w14:paraId="26E47487">
            <w:pPr>
              <w:ind w:left="714" w:hanging="357"/>
              <w:jc w:val="right"/>
            </w:pPr>
            <w:r>
              <w:t>_______</w:t>
            </w:r>
          </w:p>
        </w:tc>
      </w:tr>
    </w:tbl>
    <w:p w14:paraId="03B37558">
      <w:pPr>
        <w:keepNext/>
        <w:keepLines/>
        <w:ind w:firstLine="709"/>
        <w:jc w:val="both"/>
        <w:outlineLvl w:val="2"/>
        <w:rPr>
          <w:b/>
          <w:bCs/>
          <w:sz w:val="28"/>
          <w:szCs w:val="28"/>
        </w:rPr>
        <w:sectPr>
          <w:pgSz w:w="11906" w:h="16838"/>
          <w:pgMar w:top="851" w:right="567" w:bottom="709" w:left="1276" w:header="709" w:footer="709" w:gutter="0"/>
          <w:cols w:space="708" w:num="1"/>
          <w:docGrid w:linePitch="360" w:charSpace="0"/>
        </w:sectPr>
      </w:pPr>
    </w:p>
    <w:bookmarkEnd w:id="0"/>
    <w:bookmarkEnd w:id="1"/>
    <w:tbl>
      <w:tblPr>
        <w:tblStyle w:val="22"/>
        <w:tblW w:w="15201" w:type="dxa"/>
        <w:tblInd w:w="392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54"/>
        <w:gridCol w:w="7547"/>
      </w:tblGrid>
      <w:tr w14:paraId="34609F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654" w:type="dxa"/>
          </w:tcPr>
          <w:p w14:paraId="2F20AA67">
            <w:pPr>
              <w:autoSpaceDE w:val="0"/>
              <w:spacing w:after="160" w:line="259" w:lineRule="auto"/>
              <w:ind w:left="714" w:hanging="357"/>
              <w:jc w:val="center"/>
              <w:rPr>
                <w:sz w:val="28"/>
                <w:szCs w:val="28"/>
              </w:rPr>
            </w:pPr>
          </w:p>
        </w:tc>
        <w:tc>
          <w:tcPr>
            <w:tcW w:w="7547" w:type="dxa"/>
          </w:tcPr>
          <w:p w14:paraId="0BB8E057">
            <w:pPr>
              <w:autoSpaceDE w:val="0"/>
              <w:ind w:left="714" w:hanging="357"/>
              <w:jc w:val="right"/>
            </w:pPr>
            <w:r>
              <w:t xml:space="preserve">Приложение </w:t>
            </w:r>
          </w:p>
          <w:p w14:paraId="1336032B">
            <w:pPr>
              <w:autoSpaceDE w:val="0"/>
              <w:ind w:left="714" w:hanging="357"/>
              <w:jc w:val="right"/>
            </w:pPr>
            <w:r>
              <w:t>к распоряжению администрации</w:t>
            </w:r>
          </w:p>
          <w:p w14:paraId="1A24429E">
            <w:pPr>
              <w:autoSpaceDE w:val="0"/>
              <w:ind w:left="714" w:hanging="357"/>
              <w:jc w:val="right"/>
            </w:pPr>
            <w:r>
              <w:t>сельского поселения Подстепки</w:t>
            </w:r>
          </w:p>
          <w:p w14:paraId="01ED8626">
            <w:pPr>
              <w:autoSpaceDE w:val="0"/>
              <w:ind w:left="714" w:hanging="357"/>
              <w:jc w:val="right"/>
            </w:pPr>
            <w:r>
              <w:t xml:space="preserve">муниципального района Ставропольский </w:t>
            </w:r>
          </w:p>
          <w:p w14:paraId="6A3B2DFD">
            <w:pPr>
              <w:autoSpaceDE w:val="0"/>
              <w:ind w:left="714" w:hanging="357"/>
              <w:jc w:val="right"/>
            </w:pPr>
            <w:r>
              <w:t xml:space="preserve">Самарской области </w:t>
            </w:r>
          </w:p>
          <w:p w14:paraId="7B6031BA">
            <w:pPr>
              <w:autoSpaceDE w:val="0"/>
              <w:ind w:left="714" w:hanging="357"/>
              <w:jc w:val="right"/>
              <w:rPr>
                <w:sz w:val="28"/>
                <w:szCs w:val="28"/>
              </w:rPr>
            </w:pPr>
            <w:r>
              <w:t xml:space="preserve">от </w:t>
            </w:r>
            <w:r>
              <w:rPr>
                <w:rFonts w:hint="default"/>
                <w:lang w:val="ru-RU"/>
              </w:rPr>
              <w:t>26.12.2025</w:t>
            </w:r>
            <w:bookmarkStart w:id="3" w:name="_GoBack"/>
            <w:bookmarkEnd w:id="3"/>
            <w:r>
              <w:t xml:space="preserve"> № 3/АК</w:t>
            </w:r>
          </w:p>
        </w:tc>
      </w:tr>
    </w:tbl>
    <w:p w14:paraId="79C8B128">
      <w:pPr>
        <w:rPr>
          <w:rFonts w:eastAsia="Calibri"/>
          <w:b/>
          <w:sz w:val="28"/>
          <w:szCs w:val="28"/>
        </w:rPr>
      </w:pPr>
    </w:p>
    <w:p w14:paraId="6BCEED9A">
      <w:pPr>
        <w:jc w:val="center"/>
        <w:rPr>
          <w:rFonts w:eastAsia="Calibri"/>
          <w:b/>
        </w:rPr>
      </w:pPr>
    </w:p>
    <w:bookmarkEnd w:id="2"/>
    <w:p w14:paraId="28C99014">
      <w:pPr>
        <w:jc w:val="center"/>
        <w:rPr>
          <w:b/>
        </w:rPr>
      </w:pPr>
      <w:r>
        <w:rPr>
          <w:b/>
        </w:rPr>
        <w:t>Карта комплаенс-рисков в администрации сельского поселения Подстепки</w:t>
      </w:r>
    </w:p>
    <w:p w14:paraId="57A91FAA">
      <w:pPr>
        <w:tabs>
          <w:tab w:val="left" w:pos="9356"/>
        </w:tabs>
        <w:jc w:val="center"/>
        <w:rPr>
          <w:b/>
        </w:rPr>
      </w:pPr>
      <w:r>
        <w:rPr>
          <w:b/>
        </w:rPr>
        <w:t>муниципального района Ставропольский Самарской области на 2026 год</w:t>
      </w:r>
    </w:p>
    <w:p w14:paraId="0E3092C7">
      <w:pPr>
        <w:tabs>
          <w:tab w:val="left" w:pos="9356"/>
        </w:tabs>
        <w:jc w:val="center"/>
        <w:rPr>
          <w:b/>
        </w:rPr>
      </w:pPr>
    </w:p>
    <w:tbl>
      <w:tblPr>
        <w:tblStyle w:val="22"/>
        <w:tblW w:w="15588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6"/>
        <w:gridCol w:w="2800"/>
        <w:gridCol w:w="3295"/>
        <w:gridCol w:w="3119"/>
        <w:gridCol w:w="2694"/>
        <w:gridCol w:w="2154"/>
      </w:tblGrid>
      <w:tr w14:paraId="722650C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</w:trPr>
        <w:tc>
          <w:tcPr>
            <w:tcW w:w="1526" w:type="dxa"/>
            <w:vAlign w:val="center"/>
          </w:tcPr>
          <w:p w14:paraId="787BA3D9">
            <w:pPr>
              <w:ind w:left="-392" w:firstLine="392"/>
              <w:jc w:val="center"/>
              <w:rPr>
                <w:b/>
              </w:rPr>
            </w:pPr>
            <w:r>
              <w:rPr>
                <w:b/>
              </w:rPr>
              <w:t>Уровень риска</w:t>
            </w:r>
          </w:p>
        </w:tc>
        <w:tc>
          <w:tcPr>
            <w:tcW w:w="2800" w:type="dxa"/>
            <w:vAlign w:val="center"/>
          </w:tcPr>
          <w:p w14:paraId="3A49A794">
            <w:pPr>
              <w:ind w:left="57" w:firstLine="0"/>
              <w:jc w:val="left"/>
              <w:rPr>
                <w:b/>
              </w:rPr>
            </w:pPr>
            <w:r>
              <w:rPr>
                <w:b/>
              </w:rPr>
              <w:t>Вид риска (описание)</w:t>
            </w:r>
          </w:p>
        </w:tc>
        <w:tc>
          <w:tcPr>
            <w:tcW w:w="3295" w:type="dxa"/>
            <w:vAlign w:val="center"/>
          </w:tcPr>
          <w:p w14:paraId="36AEBA66">
            <w:pPr>
              <w:ind w:left="714" w:hanging="357"/>
              <w:jc w:val="left"/>
              <w:rPr>
                <w:b/>
              </w:rPr>
            </w:pPr>
            <w:r>
              <w:rPr>
                <w:b/>
              </w:rPr>
              <w:t>Причины и условия возникновения (описание)</w:t>
            </w:r>
          </w:p>
        </w:tc>
        <w:tc>
          <w:tcPr>
            <w:tcW w:w="3119" w:type="dxa"/>
            <w:tcBorders>
              <w:right w:val="single" w:color="auto" w:sz="4" w:space="0"/>
            </w:tcBorders>
            <w:vAlign w:val="center"/>
          </w:tcPr>
          <w:p w14:paraId="6831A887">
            <w:pPr>
              <w:ind w:left="0" w:hanging="85"/>
              <w:jc w:val="center"/>
              <w:rPr>
                <w:b/>
              </w:rPr>
            </w:pPr>
            <w:r>
              <w:rPr>
                <w:b/>
              </w:rPr>
              <w:t>Общие меры по минимизации и устранению рисков</w:t>
            </w:r>
          </w:p>
        </w:tc>
        <w:tc>
          <w:tcPr>
            <w:tcW w:w="2694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541B3C33">
            <w:pPr>
              <w:tabs>
                <w:tab w:val="left" w:pos="317"/>
              </w:tabs>
              <w:ind w:left="-391" w:right="-817" w:hanging="142"/>
              <w:jc w:val="left"/>
              <w:rPr>
                <w:b/>
              </w:rPr>
            </w:pPr>
            <w:r>
              <w:rPr>
                <w:b/>
              </w:rPr>
              <w:t xml:space="preserve">    Н     Наличие (отсутствие)</w:t>
            </w:r>
          </w:p>
          <w:p w14:paraId="33E165B7">
            <w:pPr>
              <w:tabs>
                <w:tab w:val="left" w:pos="317"/>
              </w:tabs>
              <w:ind w:left="0" w:right="-817" w:firstLine="0"/>
              <w:jc w:val="left"/>
              <w:rPr>
                <w:b/>
              </w:rPr>
            </w:pPr>
            <w:r>
              <w:rPr>
                <w:b/>
              </w:rPr>
              <w:t xml:space="preserve">   остаточных рисков</w:t>
            </w:r>
          </w:p>
        </w:tc>
        <w:tc>
          <w:tcPr>
            <w:tcW w:w="2154" w:type="dxa"/>
            <w:tcBorders>
              <w:left w:val="single" w:color="auto" w:sz="4" w:space="0"/>
            </w:tcBorders>
            <w:vAlign w:val="center"/>
          </w:tcPr>
          <w:p w14:paraId="19A04694">
            <w:pPr>
              <w:ind w:left="175" w:firstLine="0"/>
              <w:jc w:val="center"/>
              <w:rPr>
                <w:b/>
              </w:rPr>
            </w:pPr>
            <w:r>
              <w:rPr>
                <w:b/>
              </w:rPr>
              <w:t>Вероятность повторного возникновения рисков</w:t>
            </w:r>
          </w:p>
          <w:p w14:paraId="6907FA9D">
            <w:pPr>
              <w:ind w:left="175" w:firstLine="0"/>
              <w:jc w:val="both"/>
              <w:rPr>
                <w:b/>
              </w:rPr>
            </w:pPr>
          </w:p>
        </w:tc>
      </w:tr>
      <w:tr w14:paraId="05DE620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526" w:type="dxa"/>
          </w:tcPr>
          <w:p w14:paraId="42F57972">
            <w:pPr>
              <w:ind w:left="714" w:hanging="357"/>
              <w:jc w:val="both"/>
            </w:pPr>
            <w:r>
              <w:t>Низкий</w:t>
            </w:r>
          </w:p>
        </w:tc>
        <w:tc>
          <w:tcPr>
            <w:tcW w:w="2800" w:type="dxa"/>
          </w:tcPr>
          <w:p w14:paraId="5E40E932">
            <w:pPr>
              <w:ind w:left="57" w:hanging="57"/>
              <w:jc w:val="left"/>
            </w:pPr>
            <w:r>
              <w:t>Бездействие в виде непроведения открытого конкурса по отбору управляющей организации для управления многоквартирным домом</w:t>
            </w:r>
          </w:p>
        </w:tc>
        <w:tc>
          <w:tcPr>
            <w:tcW w:w="3295" w:type="dxa"/>
          </w:tcPr>
          <w:p w14:paraId="7B3F1ABF">
            <w:pPr>
              <w:ind w:left="96" w:firstLine="0"/>
              <w:jc w:val="left"/>
            </w:pPr>
            <w:r>
              <w:t>Низкая эффективность внутреннего контроля;</w:t>
            </w:r>
          </w:p>
          <w:p w14:paraId="3EF20DB1">
            <w:pPr>
              <w:ind w:left="96" w:firstLine="0"/>
              <w:jc w:val="left"/>
            </w:pPr>
            <w:r>
              <w:t>отсутствие надлежащей квалификации у специалистов администрации</w:t>
            </w:r>
          </w:p>
        </w:tc>
        <w:tc>
          <w:tcPr>
            <w:tcW w:w="3119" w:type="dxa"/>
            <w:tcBorders>
              <w:right w:val="single" w:color="auto" w:sz="4" w:space="0"/>
            </w:tcBorders>
          </w:tcPr>
          <w:p w14:paraId="67042653">
            <w:pPr>
              <w:tabs>
                <w:tab w:val="left" w:pos="482"/>
              </w:tabs>
              <w:ind w:left="57" w:firstLine="0"/>
              <w:jc w:val="left"/>
            </w:pPr>
            <w:r>
              <w:t>Повышение уровня квалификации сотрудников; усиление внутреннего контроля со стороны руководителя.</w:t>
            </w:r>
          </w:p>
          <w:p w14:paraId="253F34FE">
            <w:pPr>
              <w:tabs>
                <w:tab w:val="left" w:pos="482"/>
              </w:tabs>
              <w:ind w:left="57" w:firstLine="0"/>
              <w:jc w:val="left"/>
            </w:pPr>
          </w:p>
        </w:tc>
        <w:tc>
          <w:tcPr>
            <w:tcW w:w="2694" w:type="dxa"/>
            <w:tcBorders>
              <w:left w:val="single" w:color="auto" w:sz="4" w:space="0"/>
              <w:right w:val="single" w:color="auto" w:sz="4" w:space="0"/>
            </w:tcBorders>
          </w:tcPr>
          <w:p w14:paraId="04E0AAE6">
            <w:pPr>
              <w:ind w:left="714" w:hanging="357"/>
              <w:jc w:val="left"/>
            </w:pPr>
            <w:r>
              <w:t>отсутствие</w:t>
            </w:r>
          </w:p>
        </w:tc>
        <w:tc>
          <w:tcPr>
            <w:tcW w:w="2154" w:type="dxa"/>
            <w:tcBorders>
              <w:left w:val="single" w:color="auto" w:sz="4" w:space="0"/>
            </w:tcBorders>
          </w:tcPr>
          <w:p w14:paraId="3A08FCFE">
            <w:pPr>
              <w:ind w:left="62" w:firstLine="0"/>
              <w:jc w:val="both"/>
            </w:pPr>
            <w:r>
              <w:t>Повторное возникновение рисков маловероятно</w:t>
            </w:r>
          </w:p>
        </w:tc>
      </w:tr>
      <w:tr w14:paraId="614D0EA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526" w:type="dxa"/>
          </w:tcPr>
          <w:p w14:paraId="3F63AADE">
            <w:pPr>
              <w:ind w:left="714" w:hanging="357"/>
              <w:jc w:val="both"/>
            </w:pPr>
          </w:p>
          <w:p w14:paraId="6D9ED7F1">
            <w:pPr>
              <w:ind w:left="714" w:hanging="357"/>
              <w:jc w:val="both"/>
            </w:pPr>
            <w:r>
              <w:t>Низкий</w:t>
            </w:r>
          </w:p>
        </w:tc>
        <w:tc>
          <w:tcPr>
            <w:tcW w:w="2800" w:type="dxa"/>
          </w:tcPr>
          <w:p w14:paraId="33437F83">
            <w:pPr>
              <w:ind w:left="57" w:firstLine="0"/>
              <w:jc w:val="left"/>
            </w:pPr>
            <w:r>
              <w:t>Наделение хозяйствующего субъекта функциями органа местного самоуправления / специализированной службы в сфере организации похоронного дела</w:t>
            </w:r>
          </w:p>
          <w:p w14:paraId="01CF3BD4">
            <w:pPr>
              <w:ind w:left="57" w:firstLine="0"/>
              <w:jc w:val="left"/>
              <w:rPr>
                <w:bCs/>
              </w:rPr>
            </w:pPr>
          </w:p>
        </w:tc>
        <w:tc>
          <w:tcPr>
            <w:tcW w:w="3295" w:type="dxa"/>
          </w:tcPr>
          <w:p w14:paraId="0636F07D">
            <w:pPr>
              <w:ind w:left="96" w:firstLine="0"/>
              <w:jc w:val="left"/>
            </w:pPr>
            <w:r>
              <w:t>Низкая эффективность внутреннего контроля;</w:t>
            </w:r>
          </w:p>
          <w:p w14:paraId="04B48EEF">
            <w:pPr>
              <w:ind w:left="96" w:firstLine="0"/>
              <w:jc w:val="left"/>
            </w:pPr>
            <w:r>
              <w:t>отсутствие надлежащей квалификации у специалистов администрации</w:t>
            </w:r>
          </w:p>
        </w:tc>
        <w:tc>
          <w:tcPr>
            <w:tcW w:w="3119" w:type="dxa"/>
            <w:tcBorders>
              <w:right w:val="single" w:color="auto" w:sz="4" w:space="0"/>
            </w:tcBorders>
          </w:tcPr>
          <w:p w14:paraId="1DDC0EAE">
            <w:pPr>
              <w:tabs>
                <w:tab w:val="left" w:pos="482"/>
              </w:tabs>
              <w:ind w:left="57" w:firstLine="0"/>
              <w:jc w:val="left"/>
            </w:pPr>
            <w:r>
              <w:t>Повышение уровня квалификации сотрудников; усиление внутреннего контроля со стороны руководителя.</w:t>
            </w:r>
          </w:p>
          <w:p w14:paraId="1E2BE5B5">
            <w:pPr>
              <w:tabs>
                <w:tab w:val="left" w:pos="482"/>
              </w:tabs>
              <w:ind w:left="57" w:firstLine="0"/>
              <w:jc w:val="left"/>
            </w:pPr>
          </w:p>
        </w:tc>
        <w:tc>
          <w:tcPr>
            <w:tcW w:w="2694" w:type="dxa"/>
            <w:tcBorders>
              <w:left w:val="single" w:color="auto" w:sz="4" w:space="0"/>
              <w:right w:val="single" w:color="auto" w:sz="4" w:space="0"/>
            </w:tcBorders>
          </w:tcPr>
          <w:p w14:paraId="1518220E">
            <w:pPr>
              <w:ind w:left="714" w:hanging="357"/>
              <w:jc w:val="left"/>
            </w:pPr>
            <w:r>
              <w:t>отсутствие</w:t>
            </w:r>
          </w:p>
        </w:tc>
        <w:tc>
          <w:tcPr>
            <w:tcW w:w="2154" w:type="dxa"/>
            <w:tcBorders>
              <w:left w:val="single" w:color="auto" w:sz="4" w:space="0"/>
            </w:tcBorders>
          </w:tcPr>
          <w:p w14:paraId="59DF29A2">
            <w:pPr>
              <w:ind w:left="62" w:firstLine="0"/>
              <w:jc w:val="both"/>
            </w:pPr>
            <w:r>
              <w:t>Повторное возникновение рисков маловероятно</w:t>
            </w:r>
          </w:p>
        </w:tc>
      </w:tr>
      <w:tr w14:paraId="45C8BB1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526" w:type="dxa"/>
          </w:tcPr>
          <w:p w14:paraId="60352ED0">
            <w:pPr>
              <w:ind w:left="714" w:hanging="357"/>
              <w:jc w:val="both"/>
            </w:pPr>
            <w:r>
              <w:t>Низкий</w:t>
            </w:r>
          </w:p>
        </w:tc>
        <w:tc>
          <w:tcPr>
            <w:tcW w:w="2800" w:type="dxa"/>
          </w:tcPr>
          <w:p w14:paraId="7351D300">
            <w:pPr>
              <w:ind w:left="57" w:firstLine="0"/>
              <w:jc w:val="left"/>
            </w:pPr>
            <w:r>
              <w:t>Наделение хозяйствующего субъекта функциями органа местного самоуправления / гарантирующей организации в сфере водоснабжения (водоотведения)</w:t>
            </w:r>
          </w:p>
        </w:tc>
        <w:tc>
          <w:tcPr>
            <w:tcW w:w="3295" w:type="dxa"/>
          </w:tcPr>
          <w:p w14:paraId="2FE61F44">
            <w:pPr>
              <w:ind w:left="96" w:firstLine="0"/>
              <w:jc w:val="left"/>
            </w:pPr>
            <w:r>
              <w:t>Низкая эффективность внутреннего контроля;</w:t>
            </w:r>
          </w:p>
          <w:p w14:paraId="2518A75B">
            <w:pPr>
              <w:ind w:left="96" w:firstLine="0"/>
              <w:jc w:val="left"/>
            </w:pPr>
            <w:r>
              <w:t>отсутствие надлежащей квалификации у специалистов администрации</w:t>
            </w:r>
          </w:p>
        </w:tc>
        <w:tc>
          <w:tcPr>
            <w:tcW w:w="3119" w:type="dxa"/>
            <w:tcBorders>
              <w:right w:val="single" w:color="auto" w:sz="4" w:space="0"/>
            </w:tcBorders>
          </w:tcPr>
          <w:p w14:paraId="7F87DF6C">
            <w:pPr>
              <w:tabs>
                <w:tab w:val="left" w:pos="482"/>
              </w:tabs>
              <w:ind w:left="57" w:firstLine="0"/>
              <w:jc w:val="left"/>
            </w:pPr>
            <w:r>
              <w:t>Повышение уровня квалификации сотрудников; усиление внутреннего контроля со стороны руководителя.</w:t>
            </w:r>
          </w:p>
          <w:p w14:paraId="3DD90761">
            <w:pPr>
              <w:tabs>
                <w:tab w:val="left" w:pos="482"/>
              </w:tabs>
              <w:ind w:left="57" w:hanging="357"/>
              <w:jc w:val="both"/>
            </w:pPr>
          </w:p>
        </w:tc>
        <w:tc>
          <w:tcPr>
            <w:tcW w:w="2694" w:type="dxa"/>
            <w:tcBorders>
              <w:left w:val="single" w:color="auto" w:sz="4" w:space="0"/>
              <w:right w:val="single" w:color="auto" w:sz="4" w:space="0"/>
            </w:tcBorders>
          </w:tcPr>
          <w:p w14:paraId="49FCEC5B">
            <w:pPr>
              <w:ind w:left="714" w:hanging="357"/>
              <w:jc w:val="both"/>
            </w:pPr>
            <w:r>
              <w:t>отсутствие</w:t>
            </w:r>
          </w:p>
        </w:tc>
        <w:tc>
          <w:tcPr>
            <w:tcW w:w="2154" w:type="dxa"/>
            <w:tcBorders>
              <w:left w:val="single" w:color="auto" w:sz="4" w:space="0"/>
            </w:tcBorders>
          </w:tcPr>
          <w:p w14:paraId="070429EA">
            <w:pPr>
              <w:ind w:left="62" w:hanging="357"/>
              <w:jc w:val="both"/>
            </w:pPr>
            <w:r>
              <w:t>Повторное возникновение рисков маловероятно</w:t>
            </w:r>
          </w:p>
        </w:tc>
      </w:tr>
    </w:tbl>
    <w:p w14:paraId="3E90D06C">
      <w:pPr>
        <w:jc w:val="center"/>
        <w:rPr>
          <w:rFonts w:eastAsia="Calibri"/>
          <w:b/>
        </w:rPr>
      </w:pPr>
    </w:p>
    <w:sectPr>
      <w:pgSz w:w="16838" w:h="11906" w:orient="landscape"/>
      <w:pgMar w:top="1276" w:right="425" w:bottom="567" w:left="709" w:header="709" w:footer="709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黑体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CC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CC"/>
    <w:family w:val="swiss"/>
    <w:pitch w:val="default"/>
    <w:sig w:usb0="E1002EFF" w:usb1="C000605B" w:usb2="00000029" w:usb3="00000000" w:csb0="200101FF" w:csb1="20280000"/>
  </w:font>
  <w:font w:name="Arial">
    <w:panose1 w:val="020B0604020202020204"/>
    <w:charset w:val="CC"/>
    <w:family w:val="swiss"/>
    <w:pitch w:val="default"/>
    <w:sig w:usb0="E0002EFF" w:usb1="C000785B" w:usb2="00000009" w:usb3="00000000" w:csb0="400001FF" w:csb1="FFFF0000"/>
  </w:font>
  <w:font w:name="Mangal">
    <w:altName w:val="Segoe Print"/>
    <w:panose1 w:val="00000400000000000000"/>
    <w:charset w:val="00"/>
    <w:family w:val="roman"/>
    <w:pitch w:val="default"/>
    <w:sig w:usb0="00000000" w:usb1="00000000" w:usb2="00000000" w:usb3="00000000" w:csb0="00000001" w:csb1="00000000"/>
  </w:font>
  <w:font w:name="MS Reference Sans Serif">
    <w:panose1 w:val="020B0604030504040204"/>
    <w:charset w:val="CC"/>
    <w:family w:val="swiss"/>
    <w:pitch w:val="default"/>
    <w:sig w:usb0="00000287" w:usb1="00000000" w:usb2="00000000" w:usb3="00000000" w:csb0="2000019F" w:csb1="00000000"/>
  </w:font>
  <w:font w:name="Tunga">
    <w:altName w:val="Segoe Print"/>
    <w:panose1 w:val="00000400000000000000"/>
    <w:charset w:val="00"/>
    <w:family w:val="swiss"/>
    <w:pitch w:val="default"/>
    <w:sig w:usb0="00000000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ocumentProtection w:enforcement="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241B"/>
    <w:rsid w:val="00000A2F"/>
    <w:rsid w:val="0001619F"/>
    <w:rsid w:val="00017741"/>
    <w:rsid w:val="0002081F"/>
    <w:rsid w:val="00024EC0"/>
    <w:rsid w:val="0002723B"/>
    <w:rsid w:val="00036E8E"/>
    <w:rsid w:val="00036EF8"/>
    <w:rsid w:val="00037733"/>
    <w:rsid w:val="000419B9"/>
    <w:rsid w:val="00052730"/>
    <w:rsid w:val="000613D2"/>
    <w:rsid w:val="0006237E"/>
    <w:rsid w:val="0006645D"/>
    <w:rsid w:val="00067B8F"/>
    <w:rsid w:val="00072A31"/>
    <w:rsid w:val="00074BF2"/>
    <w:rsid w:val="00076B03"/>
    <w:rsid w:val="00085152"/>
    <w:rsid w:val="000903A1"/>
    <w:rsid w:val="000964AC"/>
    <w:rsid w:val="000A18EB"/>
    <w:rsid w:val="000B26C1"/>
    <w:rsid w:val="000B69B9"/>
    <w:rsid w:val="000C18C8"/>
    <w:rsid w:val="000C5BF2"/>
    <w:rsid w:val="000C6837"/>
    <w:rsid w:val="000C780A"/>
    <w:rsid w:val="000D3623"/>
    <w:rsid w:val="000D4F97"/>
    <w:rsid w:val="000E246B"/>
    <w:rsid w:val="000E4AE6"/>
    <w:rsid w:val="000E630A"/>
    <w:rsid w:val="000E7E62"/>
    <w:rsid w:val="000F4B28"/>
    <w:rsid w:val="000F7FCD"/>
    <w:rsid w:val="00102EB9"/>
    <w:rsid w:val="00114501"/>
    <w:rsid w:val="00125CC5"/>
    <w:rsid w:val="001275B2"/>
    <w:rsid w:val="00130BA4"/>
    <w:rsid w:val="00131AD3"/>
    <w:rsid w:val="00134C21"/>
    <w:rsid w:val="00144F5D"/>
    <w:rsid w:val="0015303B"/>
    <w:rsid w:val="00161F00"/>
    <w:rsid w:val="00166E0B"/>
    <w:rsid w:val="00171DF0"/>
    <w:rsid w:val="001814EA"/>
    <w:rsid w:val="00184F2E"/>
    <w:rsid w:val="00193E4C"/>
    <w:rsid w:val="001948EA"/>
    <w:rsid w:val="001A179E"/>
    <w:rsid w:val="001B0E13"/>
    <w:rsid w:val="001B5A75"/>
    <w:rsid w:val="001C69F3"/>
    <w:rsid w:val="001D28B9"/>
    <w:rsid w:val="001D7B47"/>
    <w:rsid w:val="001E1C47"/>
    <w:rsid w:val="001E72FF"/>
    <w:rsid w:val="00201D16"/>
    <w:rsid w:val="00207782"/>
    <w:rsid w:val="00212B17"/>
    <w:rsid w:val="0022121C"/>
    <w:rsid w:val="00226B35"/>
    <w:rsid w:val="00235D06"/>
    <w:rsid w:val="002362BF"/>
    <w:rsid w:val="002367E1"/>
    <w:rsid w:val="0023699F"/>
    <w:rsid w:val="00237B70"/>
    <w:rsid w:val="002564D3"/>
    <w:rsid w:val="002633C4"/>
    <w:rsid w:val="0026381F"/>
    <w:rsid w:val="00263E3E"/>
    <w:rsid w:val="002659D6"/>
    <w:rsid w:val="00267357"/>
    <w:rsid w:val="0028059D"/>
    <w:rsid w:val="00284272"/>
    <w:rsid w:val="002B2BFA"/>
    <w:rsid w:val="002B54DC"/>
    <w:rsid w:val="002B55DD"/>
    <w:rsid w:val="002C7819"/>
    <w:rsid w:val="002D595B"/>
    <w:rsid w:val="002E0527"/>
    <w:rsid w:val="00306400"/>
    <w:rsid w:val="00315CE9"/>
    <w:rsid w:val="00316281"/>
    <w:rsid w:val="0031676D"/>
    <w:rsid w:val="00320E19"/>
    <w:rsid w:val="0033043B"/>
    <w:rsid w:val="003373DD"/>
    <w:rsid w:val="00341DBA"/>
    <w:rsid w:val="00343B97"/>
    <w:rsid w:val="00346884"/>
    <w:rsid w:val="003545EE"/>
    <w:rsid w:val="003577B3"/>
    <w:rsid w:val="00361250"/>
    <w:rsid w:val="00364698"/>
    <w:rsid w:val="0036552F"/>
    <w:rsid w:val="00365551"/>
    <w:rsid w:val="00391095"/>
    <w:rsid w:val="003A0E7B"/>
    <w:rsid w:val="003A795E"/>
    <w:rsid w:val="003C09A0"/>
    <w:rsid w:val="003C6FF4"/>
    <w:rsid w:val="003D4335"/>
    <w:rsid w:val="003E12B3"/>
    <w:rsid w:val="003E3A03"/>
    <w:rsid w:val="003E5A71"/>
    <w:rsid w:val="003F4DE7"/>
    <w:rsid w:val="004137D1"/>
    <w:rsid w:val="00421BA0"/>
    <w:rsid w:val="00423CBB"/>
    <w:rsid w:val="0043021A"/>
    <w:rsid w:val="0043437E"/>
    <w:rsid w:val="004414E5"/>
    <w:rsid w:val="00441A6A"/>
    <w:rsid w:val="00443022"/>
    <w:rsid w:val="0044311C"/>
    <w:rsid w:val="0046148D"/>
    <w:rsid w:val="004621BE"/>
    <w:rsid w:val="00462850"/>
    <w:rsid w:val="00471C25"/>
    <w:rsid w:val="00474F40"/>
    <w:rsid w:val="00482B96"/>
    <w:rsid w:val="004918E2"/>
    <w:rsid w:val="00494615"/>
    <w:rsid w:val="004961F2"/>
    <w:rsid w:val="004B005C"/>
    <w:rsid w:val="004B09B6"/>
    <w:rsid w:val="004B62F4"/>
    <w:rsid w:val="004D5F03"/>
    <w:rsid w:val="004D6577"/>
    <w:rsid w:val="004E0435"/>
    <w:rsid w:val="004E5E7F"/>
    <w:rsid w:val="004F0F82"/>
    <w:rsid w:val="00503966"/>
    <w:rsid w:val="00512B61"/>
    <w:rsid w:val="0052147A"/>
    <w:rsid w:val="00532836"/>
    <w:rsid w:val="005368E8"/>
    <w:rsid w:val="00540D71"/>
    <w:rsid w:val="00541504"/>
    <w:rsid w:val="005436CC"/>
    <w:rsid w:val="00547E48"/>
    <w:rsid w:val="005506B8"/>
    <w:rsid w:val="00560A98"/>
    <w:rsid w:val="00561AC6"/>
    <w:rsid w:val="00562527"/>
    <w:rsid w:val="00571BF5"/>
    <w:rsid w:val="00572A8C"/>
    <w:rsid w:val="00572DEF"/>
    <w:rsid w:val="00573984"/>
    <w:rsid w:val="00580EEB"/>
    <w:rsid w:val="00585881"/>
    <w:rsid w:val="005935DD"/>
    <w:rsid w:val="00593C36"/>
    <w:rsid w:val="005A785C"/>
    <w:rsid w:val="005C57B6"/>
    <w:rsid w:val="005C5A70"/>
    <w:rsid w:val="005C6D1B"/>
    <w:rsid w:val="005D0EC9"/>
    <w:rsid w:val="005D7BC7"/>
    <w:rsid w:val="005E0FA8"/>
    <w:rsid w:val="005E4EF2"/>
    <w:rsid w:val="005F1554"/>
    <w:rsid w:val="005F564F"/>
    <w:rsid w:val="0060028E"/>
    <w:rsid w:val="0060534B"/>
    <w:rsid w:val="0061623E"/>
    <w:rsid w:val="0062047D"/>
    <w:rsid w:val="006206E9"/>
    <w:rsid w:val="0063140E"/>
    <w:rsid w:val="00637628"/>
    <w:rsid w:val="0064690B"/>
    <w:rsid w:val="00647F9F"/>
    <w:rsid w:val="006505F1"/>
    <w:rsid w:val="00651351"/>
    <w:rsid w:val="00655335"/>
    <w:rsid w:val="006656AF"/>
    <w:rsid w:val="00670D22"/>
    <w:rsid w:val="00684C42"/>
    <w:rsid w:val="006A4D06"/>
    <w:rsid w:val="006A5447"/>
    <w:rsid w:val="006C0ECE"/>
    <w:rsid w:val="006C379A"/>
    <w:rsid w:val="006D1F1A"/>
    <w:rsid w:val="006D1F98"/>
    <w:rsid w:val="006E1938"/>
    <w:rsid w:val="006F06F0"/>
    <w:rsid w:val="006F46E2"/>
    <w:rsid w:val="006F4A50"/>
    <w:rsid w:val="006F6B55"/>
    <w:rsid w:val="00700BA6"/>
    <w:rsid w:val="00703B6B"/>
    <w:rsid w:val="00703D45"/>
    <w:rsid w:val="00710CA8"/>
    <w:rsid w:val="00711EEA"/>
    <w:rsid w:val="0071338F"/>
    <w:rsid w:val="00716008"/>
    <w:rsid w:val="00721148"/>
    <w:rsid w:val="00725716"/>
    <w:rsid w:val="0073120F"/>
    <w:rsid w:val="007378CE"/>
    <w:rsid w:val="00750AA1"/>
    <w:rsid w:val="00754E36"/>
    <w:rsid w:val="00754E48"/>
    <w:rsid w:val="007554AA"/>
    <w:rsid w:val="007562A2"/>
    <w:rsid w:val="00762E3F"/>
    <w:rsid w:val="00774DBB"/>
    <w:rsid w:val="0077602F"/>
    <w:rsid w:val="00781D39"/>
    <w:rsid w:val="00785E9D"/>
    <w:rsid w:val="00790D65"/>
    <w:rsid w:val="007A0A45"/>
    <w:rsid w:val="007A339D"/>
    <w:rsid w:val="007A370A"/>
    <w:rsid w:val="007A4931"/>
    <w:rsid w:val="007B2277"/>
    <w:rsid w:val="007B61FD"/>
    <w:rsid w:val="007C084F"/>
    <w:rsid w:val="007D30FE"/>
    <w:rsid w:val="007E274A"/>
    <w:rsid w:val="007E2A2A"/>
    <w:rsid w:val="007F7639"/>
    <w:rsid w:val="007F7F79"/>
    <w:rsid w:val="00810AD1"/>
    <w:rsid w:val="00815DBB"/>
    <w:rsid w:val="008256AA"/>
    <w:rsid w:val="00827271"/>
    <w:rsid w:val="0084272B"/>
    <w:rsid w:val="0088231B"/>
    <w:rsid w:val="008A152F"/>
    <w:rsid w:val="008A4948"/>
    <w:rsid w:val="008A6C0D"/>
    <w:rsid w:val="008B1FA2"/>
    <w:rsid w:val="008B4DCF"/>
    <w:rsid w:val="008C53C6"/>
    <w:rsid w:val="008C5ACD"/>
    <w:rsid w:val="008D2D00"/>
    <w:rsid w:val="008D7DBD"/>
    <w:rsid w:val="008E7AC9"/>
    <w:rsid w:val="008E7D49"/>
    <w:rsid w:val="008F230A"/>
    <w:rsid w:val="008F4E36"/>
    <w:rsid w:val="008F6E56"/>
    <w:rsid w:val="00901475"/>
    <w:rsid w:val="00901F73"/>
    <w:rsid w:val="00902025"/>
    <w:rsid w:val="00904594"/>
    <w:rsid w:val="00904C09"/>
    <w:rsid w:val="00905F97"/>
    <w:rsid w:val="0091611F"/>
    <w:rsid w:val="00922CA7"/>
    <w:rsid w:val="00945A44"/>
    <w:rsid w:val="00947AD7"/>
    <w:rsid w:val="00954431"/>
    <w:rsid w:val="00960990"/>
    <w:rsid w:val="0099424B"/>
    <w:rsid w:val="00995716"/>
    <w:rsid w:val="009A25BA"/>
    <w:rsid w:val="009A4BA9"/>
    <w:rsid w:val="009A4EFC"/>
    <w:rsid w:val="009A7CC0"/>
    <w:rsid w:val="009B3D7B"/>
    <w:rsid w:val="009B45C0"/>
    <w:rsid w:val="009C2A68"/>
    <w:rsid w:val="009D1AC0"/>
    <w:rsid w:val="009E0A72"/>
    <w:rsid w:val="009E4C2F"/>
    <w:rsid w:val="009E5ABD"/>
    <w:rsid w:val="009F1AE8"/>
    <w:rsid w:val="009F4558"/>
    <w:rsid w:val="009F6972"/>
    <w:rsid w:val="00A025A0"/>
    <w:rsid w:val="00A34680"/>
    <w:rsid w:val="00A34C37"/>
    <w:rsid w:val="00A50FC1"/>
    <w:rsid w:val="00A53953"/>
    <w:rsid w:val="00A54D9D"/>
    <w:rsid w:val="00A70BCC"/>
    <w:rsid w:val="00A73640"/>
    <w:rsid w:val="00A77E87"/>
    <w:rsid w:val="00A86067"/>
    <w:rsid w:val="00A91F25"/>
    <w:rsid w:val="00A951E9"/>
    <w:rsid w:val="00A95EBC"/>
    <w:rsid w:val="00AA4DE2"/>
    <w:rsid w:val="00AA7E44"/>
    <w:rsid w:val="00AC1BDA"/>
    <w:rsid w:val="00AC4AA4"/>
    <w:rsid w:val="00AC79F9"/>
    <w:rsid w:val="00AD5FE7"/>
    <w:rsid w:val="00AE592C"/>
    <w:rsid w:val="00B000FD"/>
    <w:rsid w:val="00B01EFC"/>
    <w:rsid w:val="00B03F19"/>
    <w:rsid w:val="00B13631"/>
    <w:rsid w:val="00B1410A"/>
    <w:rsid w:val="00B222DF"/>
    <w:rsid w:val="00B44434"/>
    <w:rsid w:val="00B6261D"/>
    <w:rsid w:val="00B65070"/>
    <w:rsid w:val="00B65CB5"/>
    <w:rsid w:val="00B72C82"/>
    <w:rsid w:val="00B773A9"/>
    <w:rsid w:val="00BA148B"/>
    <w:rsid w:val="00BA2BA6"/>
    <w:rsid w:val="00BA3526"/>
    <w:rsid w:val="00BA5044"/>
    <w:rsid w:val="00BA7CAA"/>
    <w:rsid w:val="00BC43BA"/>
    <w:rsid w:val="00BD7619"/>
    <w:rsid w:val="00BE1FF4"/>
    <w:rsid w:val="00BF1113"/>
    <w:rsid w:val="00C05512"/>
    <w:rsid w:val="00C05536"/>
    <w:rsid w:val="00C11827"/>
    <w:rsid w:val="00C126FE"/>
    <w:rsid w:val="00C13935"/>
    <w:rsid w:val="00C175A9"/>
    <w:rsid w:val="00C20040"/>
    <w:rsid w:val="00C2241B"/>
    <w:rsid w:val="00C256B1"/>
    <w:rsid w:val="00C329A4"/>
    <w:rsid w:val="00C41DD8"/>
    <w:rsid w:val="00C4507E"/>
    <w:rsid w:val="00C61BA4"/>
    <w:rsid w:val="00C65A44"/>
    <w:rsid w:val="00C70291"/>
    <w:rsid w:val="00C86446"/>
    <w:rsid w:val="00C91456"/>
    <w:rsid w:val="00CC1086"/>
    <w:rsid w:val="00CD1428"/>
    <w:rsid w:val="00CE0F26"/>
    <w:rsid w:val="00CE5A9C"/>
    <w:rsid w:val="00CF4AEB"/>
    <w:rsid w:val="00CF6C47"/>
    <w:rsid w:val="00D2672F"/>
    <w:rsid w:val="00D3772C"/>
    <w:rsid w:val="00D43859"/>
    <w:rsid w:val="00D5564A"/>
    <w:rsid w:val="00D76390"/>
    <w:rsid w:val="00D7665B"/>
    <w:rsid w:val="00D81881"/>
    <w:rsid w:val="00D87482"/>
    <w:rsid w:val="00D954BA"/>
    <w:rsid w:val="00D978FE"/>
    <w:rsid w:val="00DA56A1"/>
    <w:rsid w:val="00DA60AB"/>
    <w:rsid w:val="00DB08A5"/>
    <w:rsid w:val="00DB31DC"/>
    <w:rsid w:val="00DB6337"/>
    <w:rsid w:val="00DB7B9C"/>
    <w:rsid w:val="00DD4538"/>
    <w:rsid w:val="00DD73C6"/>
    <w:rsid w:val="00DE11DD"/>
    <w:rsid w:val="00DE24BF"/>
    <w:rsid w:val="00DE7FA3"/>
    <w:rsid w:val="00DF0A7B"/>
    <w:rsid w:val="00DF4F89"/>
    <w:rsid w:val="00DF5A29"/>
    <w:rsid w:val="00E020B5"/>
    <w:rsid w:val="00E04C38"/>
    <w:rsid w:val="00E0563B"/>
    <w:rsid w:val="00E129F3"/>
    <w:rsid w:val="00E22AB1"/>
    <w:rsid w:val="00E37162"/>
    <w:rsid w:val="00E4115B"/>
    <w:rsid w:val="00E43C4F"/>
    <w:rsid w:val="00E47388"/>
    <w:rsid w:val="00E5039A"/>
    <w:rsid w:val="00E51F7E"/>
    <w:rsid w:val="00E553D4"/>
    <w:rsid w:val="00E72A28"/>
    <w:rsid w:val="00E81121"/>
    <w:rsid w:val="00E86B85"/>
    <w:rsid w:val="00E912FD"/>
    <w:rsid w:val="00E926DD"/>
    <w:rsid w:val="00E92880"/>
    <w:rsid w:val="00E94EFB"/>
    <w:rsid w:val="00EB1A36"/>
    <w:rsid w:val="00EB595C"/>
    <w:rsid w:val="00EC36E1"/>
    <w:rsid w:val="00EC4A44"/>
    <w:rsid w:val="00ED2ACA"/>
    <w:rsid w:val="00EE1A4E"/>
    <w:rsid w:val="00EF1F46"/>
    <w:rsid w:val="00EF78E5"/>
    <w:rsid w:val="00F001D9"/>
    <w:rsid w:val="00F03E93"/>
    <w:rsid w:val="00F12593"/>
    <w:rsid w:val="00F15253"/>
    <w:rsid w:val="00F1672A"/>
    <w:rsid w:val="00F20F89"/>
    <w:rsid w:val="00F2421F"/>
    <w:rsid w:val="00F37C9B"/>
    <w:rsid w:val="00F472E5"/>
    <w:rsid w:val="00F47625"/>
    <w:rsid w:val="00F66C39"/>
    <w:rsid w:val="00F67A4A"/>
    <w:rsid w:val="00F700A1"/>
    <w:rsid w:val="00F70655"/>
    <w:rsid w:val="00F9162B"/>
    <w:rsid w:val="00F91812"/>
    <w:rsid w:val="00F9257F"/>
    <w:rsid w:val="00F944C2"/>
    <w:rsid w:val="00F96DDD"/>
    <w:rsid w:val="00FA148C"/>
    <w:rsid w:val="00FB435E"/>
    <w:rsid w:val="00FD11F5"/>
    <w:rsid w:val="00FD3C7D"/>
    <w:rsid w:val="00FD4264"/>
    <w:rsid w:val="00FE19E6"/>
    <w:rsid w:val="00FE254C"/>
    <w:rsid w:val="00FF1DE1"/>
    <w:rsid w:val="00FF55A8"/>
    <w:rsid w:val="00FF5A97"/>
    <w:rsid w:val="292E7B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Calibri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qFormat="1" w:unhideWhenUsed="0" w:uiPriority="0" w:semiHidden="0" w:name="Body Text Indent 3"/>
    <w:lsdException w:uiPriority="99" w:name="Block Text"/>
    <w:lsdException w:unhideWhenUsed="0" w:uiPriority="99" w:semiHidden="0" w:name="Hyperlink"/>
    <w:lsdException w:uiPriority="99" w:name="FollowedHyperlink"/>
    <w:lsdException w:qFormat="1" w:unhideWhenUsed="0" w:uiPriority="22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99" w:semiHidden="0" w:name="Table Grid"/>
    <w:lsdException w:uiPriority="99" w:name="Table Theme"/>
    <w:lsdException w:qFormat="1" w:unhideWhenUsed="0" w:uiPriority="34" w:semiHidden="0" w:name="List Paragraph"/>
  </w:latentStyles>
  <w:style w:type="paragraph" w:default="1" w:styleId="1">
    <w:name w:val="Normal"/>
    <w:qFormat/>
    <w:uiPriority w:val="0"/>
    <w:pPr>
      <w:suppressAutoHyphens/>
    </w:pPr>
    <w:rPr>
      <w:rFonts w:ascii="Times New Roman" w:hAnsi="Times New Roman" w:eastAsia="Times New Roman" w:cs="Times New Roman"/>
      <w:sz w:val="24"/>
      <w:szCs w:val="24"/>
      <w:lang w:val="ru-RU" w:eastAsia="ar-SA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2"/>
    <w:uiPriority w:val="99"/>
    <w:rPr>
      <w:rFonts w:cs="Times New Roman"/>
      <w:color w:val="0000FF"/>
      <w:u w:val="single"/>
    </w:rPr>
  </w:style>
  <w:style w:type="character" w:styleId="5">
    <w:name w:val="Strong"/>
    <w:basedOn w:val="2"/>
    <w:qFormat/>
    <w:locked/>
    <w:uiPriority w:val="22"/>
    <w:rPr>
      <w:b/>
      <w:bCs/>
    </w:rPr>
  </w:style>
  <w:style w:type="paragraph" w:styleId="6">
    <w:name w:val="Balloon Text"/>
    <w:basedOn w:val="1"/>
    <w:link w:val="13"/>
    <w:semiHidden/>
    <w:unhideWhenUsed/>
    <w:uiPriority w:val="99"/>
    <w:rPr>
      <w:rFonts w:ascii="Tahoma" w:hAnsi="Tahoma" w:cs="Tahoma"/>
      <w:sz w:val="16"/>
      <w:szCs w:val="16"/>
    </w:rPr>
  </w:style>
  <w:style w:type="paragraph" w:styleId="7">
    <w:name w:val="Body Text Indent 3"/>
    <w:basedOn w:val="1"/>
    <w:link w:val="19"/>
    <w:qFormat/>
    <w:uiPriority w:val="0"/>
    <w:pPr>
      <w:widowControl w:val="0"/>
      <w:suppressAutoHyphens w:val="0"/>
      <w:autoSpaceDE w:val="0"/>
      <w:autoSpaceDN w:val="0"/>
      <w:adjustRightInd w:val="0"/>
      <w:spacing w:after="120" w:line="300" w:lineRule="auto"/>
      <w:ind w:left="283" w:firstLine="160"/>
      <w:jc w:val="both"/>
    </w:pPr>
    <w:rPr>
      <w:rFonts w:ascii="Arial" w:hAnsi="Arial"/>
      <w:sz w:val="16"/>
      <w:szCs w:val="16"/>
      <w:lang w:val="zh-CN" w:eastAsia="zh-CN"/>
    </w:rPr>
  </w:style>
  <w:style w:type="paragraph" w:styleId="8">
    <w:name w:val="footer"/>
    <w:basedOn w:val="1"/>
    <w:link w:val="17"/>
    <w:unhideWhenUsed/>
    <w:qFormat/>
    <w:uiPriority w:val="99"/>
    <w:pPr>
      <w:tabs>
        <w:tab w:val="center" w:pos="4677"/>
        <w:tab w:val="right" w:pos="9355"/>
      </w:tabs>
    </w:pPr>
  </w:style>
  <w:style w:type="paragraph" w:styleId="9">
    <w:name w:val="Normal (Web)"/>
    <w:basedOn w:val="1"/>
    <w:semiHidden/>
    <w:unhideWhenUsed/>
    <w:uiPriority w:val="99"/>
    <w:pPr>
      <w:suppressAutoHyphens w:val="0"/>
      <w:spacing w:before="100" w:beforeAutospacing="1" w:after="100" w:afterAutospacing="1"/>
    </w:pPr>
    <w:rPr>
      <w:lang w:eastAsia="ru-RU"/>
    </w:rPr>
  </w:style>
  <w:style w:type="table" w:styleId="10">
    <w:name w:val="Table Grid"/>
    <w:basedOn w:val="3"/>
    <w:qFormat/>
    <w:uiPriority w:val="99"/>
    <w:rPr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1">
    <w:name w:val="List Paragraph"/>
    <w:basedOn w:val="1"/>
    <w:qFormat/>
    <w:uiPriority w:val="34"/>
    <w:pPr>
      <w:ind w:left="720"/>
      <w:contextualSpacing/>
    </w:pPr>
  </w:style>
  <w:style w:type="paragraph" w:customStyle="1" w:styleId="12">
    <w:name w:val="Обратный адрес"/>
    <w:basedOn w:val="1"/>
    <w:uiPriority w:val="99"/>
    <w:pPr>
      <w:keepLines/>
      <w:framePr w:w="2640" w:h="1018" w:hRule="exact" w:hSpace="180" w:wrap="notBeside" w:vAnchor="page" w:hAnchor="page" w:x="8821" w:y="721" w:anchorLock="1"/>
      <w:suppressAutoHyphens w:val="0"/>
      <w:spacing w:line="200" w:lineRule="atLeast"/>
      <w:ind w:right="-360"/>
    </w:pPr>
    <w:rPr>
      <w:rFonts w:eastAsia="Calibri"/>
      <w:sz w:val="16"/>
      <w:szCs w:val="20"/>
      <w:lang w:eastAsia="ru-RU"/>
    </w:rPr>
  </w:style>
  <w:style w:type="character" w:customStyle="1" w:styleId="13">
    <w:name w:val="Текст выноски Знак"/>
    <w:basedOn w:val="2"/>
    <w:link w:val="6"/>
    <w:semiHidden/>
    <w:uiPriority w:val="99"/>
    <w:rPr>
      <w:rFonts w:ascii="Tahoma" w:hAnsi="Tahoma" w:eastAsia="Times New Roman" w:cs="Tahoma"/>
      <w:sz w:val="16"/>
      <w:szCs w:val="16"/>
      <w:lang w:eastAsia="ar-SA"/>
    </w:rPr>
  </w:style>
  <w:style w:type="character" w:customStyle="1" w:styleId="14">
    <w:name w:val="apple-converted-space"/>
    <w:basedOn w:val="2"/>
    <w:uiPriority w:val="0"/>
  </w:style>
  <w:style w:type="paragraph" w:customStyle="1" w:styleId="15">
    <w:name w:val="Standard"/>
    <w:qFormat/>
    <w:uiPriority w:val="0"/>
    <w:pPr>
      <w:widowControl w:val="0"/>
      <w:suppressAutoHyphens/>
      <w:autoSpaceDN w:val="0"/>
      <w:textAlignment w:val="baseline"/>
    </w:pPr>
    <w:rPr>
      <w:rFonts w:ascii="Arial" w:hAnsi="Arial" w:eastAsia="SimSun" w:cs="Mangal"/>
      <w:kern w:val="3"/>
      <w:sz w:val="24"/>
      <w:szCs w:val="24"/>
      <w:lang w:val="ru-RU" w:eastAsia="zh-CN" w:bidi="hi-IN"/>
    </w:rPr>
  </w:style>
  <w:style w:type="character" w:customStyle="1" w:styleId="16">
    <w:name w:val="Основной шрифт абзаца1"/>
    <w:qFormat/>
    <w:uiPriority w:val="0"/>
  </w:style>
  <w:style w:type="character" w:customStyle="1" w:styleId="17">
    <w:name w:val="Нижний колонтитул Знак"/>
    <w:basedOn w:val="2"/>
    <w:link w:val="8"/>
    <w:qFormat/>
    <w:uiPriority w:val="99"/>
    <w:rPr>
      <w:rFonts w:ascii="Times New Roman" w:hAnsi="Times New Roman" w:eastAsia="Times New Roman"/>
      <w:sz w:val="24"/>
      <w:szCs w:val="24"/>
      <w:lang w:eastAsia="ar-SA"/>
    </w:rPr>
  </w:style>
  <w:style w:type="paragraph" w:customStyle="1" w:styleId="18">
    <w:name w:val="ConsPlusNormal"/>
    <w:uiPriority w:val="0"/>
    <w:pPr>
      <w:widowControl w:val="0"/>
      <w:suppressAutoHyphens/>
      <w:autoSpaceDE w:val="0"/>
      <w:ind w:firstLine="720"/>
    </w:pPr>
    <w:rPr>
      <w:rFonts w:ascii="Arial" w:hAnsi="Arial" w:eastAsia="Calibri" w:cs="Arial"/>
      <w:sz w:val="24"/>
      <w:szCs w:val="24"/>
      <w:lang w:val="ru-RU" w:eastAsia="zh-CN" w:bidi="ar-SA"/>
    </w:rPr>
  </w:style>
  <w:style w:type="character" w:customStyle="1" w:styleId="19">
    <w:name w:val="Основной текст с отступом 3 Знак"/>
    <w:basedOn w:val="2"/>
    <w:link w:val="7"/>
    <w:qFormat/>
    <w:uiPriority w:val="0"/>
    <w:rPr>
      <w:rFonts w:ascii="Arial" w:hAnsi="Arial" w:eastAsia="Times New Roman"/>
      <w:sz w:val="16"/>
      <w:szCs w:val="16"/>
      <w:lang w:val="zh-CN" w:eastAsia="zh-CN"/>
    </w:rPr>
  </w:style>
  <w:style w:type="character" w:customStyle="1" w:styleId="20">
    <w:name w:val="Unresolved Mention"/>
    <w:basedOn w:val="2"/>
    <w:semiHidden/>
    <w:unhideWhenUsed/>
    <w:qFormat/>
    <w:uiPriority w:val="99"/>
    <w:rPr>
      <w:color w:val="605E5C"/>
      <w:shd w:val="clear" w:color="auto" w:fill="E1DFDD"/>
    </w:rPr>
  </w:style>
  <w:style w:type="character" w:customStyle="1" w:styleId="21">
    <w:name w:val="Numbering Symbols"/>
    <w:qFormat/>
    <w:uiPriority w:val="0"/>
  </w:style>
  <w:style w:type="table" w:customStyle="1" w:styleId="22">
    <w:name w:val="Сетка таблицы1"/>
    <w:basedOn w:val="3"/>
    <w:qFormat/>
    <w:uiPriority w:val="59"/>
    <w:pPr>
      <w:ind w:left="714" w:hanging="357"/>
      <w:jc w:val="both"/>
    </w:pPr>
    <w:rPr>
      <w:lang w:eastAsia="en-US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customStyle="1" w:styleId="23">
    <w:name w:val="ConsPlusTitle"/>
    <w:qFormat/>
    <w:uiPriority w:val="0"/>
    <w:pPr>
      <w:widowControl w:val="0"/>
      <w:autoSpaceDE w:val="0"/>
      <w:autoSpaceDN w:val="0"/>
    </w:pPr>
    <w:rPr>
      <w:rFonts w:ascii="Calibri" w:hAnsi="Calibri" w:eastAsia="Times New Roman" w:cs="Calibri"/>
      <w:b/>
      <w:sz w:val="22"/>
      <w:szCs w:val="20"/>
      <w:lang w:val="ru-RU" w:eastAsia="ru-RU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1B7E22-AF93-4F2B-B465-ACD460116C3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SPecialiST RePack</Company>
  <Pages>3</Pages>
  <Words>561</Words>
  <Characters>3204</Characters>
  <Lines>26</Lines>
  <Paragraphs>7</Paragraphs>
  <TotalTime>2</TotalTime>
  <ScaleCrop>false</ScaleCrop>
  <LinksUpToDate>false</LinksUpToDate>
  <CharactersWithSpaces>3758</CharactersWithSpaces>
  <Application>WPS Office_12.2.0.23196_F1E327BC-269C-435d-A152-05C5408002CA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2026-01-12T20:58:00Z</dcterms:created>
  <dc:creator>Elena</dc:creator>
  <cp:lastModifiedBy>user</cp:lastModifiedBy>
  <cp:lastPrinted>2025-01-22T11:28:00Z</cp:lastPrinted>
  <dcterms:modified xsi:type="dcterms:W3CDTF">2026-01-13T11:12:19Z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1049-12.2.0.23196</vt:lpwstr>
  </property>
  <property fmtid="{D5CDD505-2E9C-101B-9397-08002B2CF9AE}" pid="3" name="ICV">
    <vt:lpwstr>33478BE250EC42C99F070CFD97C1AD1A_13</vt:lpwstr>
  </property>
</Properties>
</file>