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32B967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bookmarkStart w:id="0" w:name="_Toc102208947"/>
      <w:bookmarkStart w:id="1" w:name="_Toc90044252"/>
      <w:bookmarkStart w:id="2" w:name="_Hlk31570184"/>
      <w:r>
        <w:rPr>
          <w:lang w:eastAsia="ru-RU"/>
        </w:rPr>
        <w:drawing>
          <wp:inline distT="0" distB="0" distL="0" distR="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F8958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</w:p>
    <w:p w14:paraId="7444E881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РОССИЙСКАЯ ФЕДЕРАЦИЯ </w:t>
      </w:r>
    </w:p>
    <w:p w14:paraId="1298A084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САМАРСКАЯ ОБЛАСТЬ</w:t>
      </w:r>
    </w:p>
    <w:p w14:paraId="0452A0FA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МУНИЦИПАЛЬНЫЙ РАЙОН СТАВРОПОЛЬСКИЙ</w:t>
      </w:r>
    </w:p>
    <w:p w14:paraId="70F6530F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АДМИНИСТРАЦИЯ СЕЛЬСКОГО ПОСЕЛЕНИЯ ПОДСТЕПКИ</w:t>
      </w:r>
    </w:p>
    <w:p w14:paraId="34DD6827">
      <w:pPr>
        <w:jc w:val="center"/>
        <w:rPr>
          <w:sz w:val="18"/>
          <w:szCs w:val="18"/>
          <w:u w:val="single"/>
        </w:rPr>
      </w:pPr>
    </w:p>
    <w:p w14:paraId="2CF163D4">
      <w:pPr>
        <w:jc w:val="center"/>
        <w:rPr>
          <w:sz w:val="18"/>
          <w:szCs w:val="18"/>
          <w:u w:val="single"/>
        </w:rPr>
      </w:pPr>
    </w:p>
    <w:p w14:paraId="438F96A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РАСПОРЯЖЕНИЕ</w:t>
      </w:r>
    </w:p>
    <w:p w14:paraId="769462CE">
      <w:pPr>
        <w:jc w:val="center"/>
        <w:rPr>
          <w:rFonts w:ascii="MS Reference Sans Serif" w:hAnsi="MS Reference Sans Serif" w:cs="Tunga"/>
          <w:b/>
          <w:sz w:val="32"/>
          <w:szCs w:val="32"/>
        </w:rPr>
      </w:pPr>
    </w:p>
    <w:p w14:paraId="359F719F">
      <w:r>
        <w:t>«</w:t>
      </w:r>
      <w:r>
        <w:rPr>
          <w:rFonts w:hint="default"/>
          <w:lang w:val="ru-RU"/>
        </w:rPr>
        <w:t>26</w:t>
      </w:r>
      <w:r>
        <w:t xml:space="preserve">» </w:t>
      </w:r>
      <w:r>
        <w:rPr>
          <w:lang w:val="ru-RU"/>
        </w:rPr>
        <w:t>декабря</w:t>
      </w:r>
      <w:r>
        <w:rPr>
          <w:rFonts w:hint="default"/>
          <w:lang w:val="ru-RU"/>
        </w:rPr>
        <w:t xml:space="preserve"> </w:t>
      </w:r>
      <w:r>
        <w:t xml:space="preserve">2025 года                                                                             </w:t>
      </w:r>
      <w:r>
        <w:tab/>
      </w:r>
      <w:r>
        <w:tab/>
      </w:r>
      <w:r>
        <w:t xml:space="preserve">                № 2/АК</w:t>
      </w:r>
    </w:p>
    <w:p w14:paraId="40D6B31C">
      <w:pPr>
        <w:jc w:val="center"/>
        <w:rPr>
          <w:rFonts w:eastAsia="Calibri"/>
          <w:b/>
        </w:rPr>
      </w:pPr>
    </w:p>
    <w:p w14:paraId="4D0BE528">
      <w:pPr>
        <w:jc w:val="center"/>
        <w:rPr>
          <w:b/>
        </w:rPr>
      </w:pPr>
      <w:r>
        <w:rPr>
          <w:b/>
        </w:rPr>
        <w:t>Об утверждении перечня ключевых показателей эффективности функционирования антимонопольного комплаенса в администрации сельского поселения Подстепки муниципального района Ставропольский Самарской области на 202</w:t>
      </w:r>
      <w:r>
        <w:rPr>
          <w:rFonts w:hint="default"/>
          <w:b/>
          <w:lang w:val="ru-RU"/>
        </w:rPr>
        <w:t>6</w:t>
      </w:r>
      <w:r>
        <w:rPr>
          <w:b/>
        </w:rPr>
        <w:t xml:space="preserve"> год</w:t>
      </w:r>
    </w:p>
    <w:p w14:paraId="5C630420">
      <w:pPr>
        <w:ind w:left="720"/>
        <w:contextualSpacing/>
        <w:jc w:val="both"/>
      </w:pPr>
      <w:r>
        <w:t xml:space="preserve">                                                                                                                                    </w:t>
      </w:r>
    </w:p>
    <w:p w14:paraId="231E3CAB">
      <w:pPr>
        <w:widowControl w:val="0"/>
        <w:autoSpaceDE w:val="0"/>
        <w:autoSpaceDN w:val="0"/>
        <w:ind w:firstLine="357"/>
        <w:jc w:val="both"/>
        <w:rPr>
          <w:lang w:eastAsia="ru-RU"/>
        </w:rPr>
      </w:pPr>
      <w:r>
        <w:rPr>
          <w:lang w:eastAsia="ru-RU"/>
        </w:rPr>
        <w:t>В</w:t>
      </w:r>
      <w:r>
        <w:rPr>
          <w:color w:val="000000"/>
          <w:lang w:eastAsia="ru-RU"/>
        </w:rPr>
        <w:t xml:space="preserve"> соответствии с </w:t>
      </w:r>
      <w:r>
        <w:rPr>
          <w:lang w:eastAsia="ru-RU"/>
        </w:rPr>
        <w:t>Федеральным законом от 20.03.2025 № 33-ФЗ «Об общих принципах организации местного самоуправления в единой системе публичной власти», Уставом сельского поселения Подстепки муниципального района Ставропольский Самарской области, пунктом 3.3</w:t>
      </w:r>
      <w:r>
        <w:rPr>
          <w:b/>
          <w:lang w:eastAsia="ru-RU"/>
        </w:rPr>
        <w:t xml:space="preserve"> </w:t>
      </w:r>
      <w:r>
        <w:rPr>
          <w:lang w:eastAsia="ru-RU"/>
        </w:rPr>
        <w:t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Подстепки  муниципального района Ставропольский  Самарской области, утвержденного распоряжением администрации сельского поселения Подстепки муниципального района Ставропольский Самарской области от 22.11.2022 № 881</w:t>
      </w:r>
    </w:p>
    <w:p w14:paraId="5DA21C3C">
      <w:pPr>
        <w:ind w:firstLine="720"/>
        <w:contextualSpacing/>
        <w:jc w:val="both"/>
      </w:pPr>
    </w:p>
    <w:p w14:paraId="2F22171E">
      <w:pPr>
        <w:ind w:firstLine="708"/>
        <w:jc w:val="both"/>
      </w:pPr>
      <w:r>
        <w:t>1. Утвердить прилагаемый перечень ключевых показателей эффективности функционирования в администрации сельского поселения Подстепки муниципального района Ставропольский Самарской области антимонопольного комплаенса на 202</w:t>
      </w:r>
      <w:r>
        <w:rPr>
          <w:rFonts w:hint="default"/>
          <w:lang w:val="ru-RU"/>
        </w:rPr>
        <w:t>6</w:t>
      </w:r>
      <w:r>
        <w:t xml:space="preserve"> год.</w:t>
      </w:r>
    </w:p>
    <w:p w14:paraId="72A5EBCB">
      <w:pPr>
        <w:jc w:val="both"/>
      </w:pPr>
      <w:r>
        <w:t xml:space="preserve"> </w:t>
      </w:r>
      <w:r>
        <w:tab/>
      </w:r>
      <w:r>
        <w:t xml:space="preserve">2. Должностным лицам и отраслевым (функциональным) органам администрации сельского поселения Подстепки 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Подстепки муниципального района Ставропольский Самарской области антимонопольного комплаенса. </w:t>
      </w:r>
    </w:p>
    <w:p w14:paraId="59594A6D">
      <w:pPr>
        <w:contextualSpacing/>
        <w:jc w:val="both"/>
      </w:pPr>
      <w:r>
        <w:t xml:space="preserve">    </w:t>
      </w:r>
      <w:r>
        <w:tab/>
      </w:r>
      <w:r>
        <w:t>3. Назначить Кочеткова Дмитрия Владимировича – ведущего юрисконсульта администрации, ответственным лицом за внутреннее обеспечение соответствия требованиям антимонопольного законодательства деятельности администрации сельского поселения Подстепки муниципального района Ставропольский Самарской области.</w:t>
      </w:r>
    </w:p>
    <w:p w14:paraId="51891A81">
      <w:pPr>
        <w:jc w:val="both"/>
      </w:pPr>
      <w:r>
        <w:t xml:space="preserve">    </w:t>
      </w:r>
      <w:r>
        <w:tab/>
      </w:r>
      <w:r>
        <w:t>4. Опубликовать настоящее распоряжение на официальном сайте администрации  сельского поселения Подстепки муниципального района Ставропольский Самарской области в информационно-телекоммуникационной сети Интернет.</w:t>
      </w:r>
    </w:p>
    <w:p w14:paraId="13CA97B7">
      <w:pPr>
        <w:contextualSpacing/>
        <w:jc w:val="both"/>
      </w:pPr>
      <w:r>
        <w:t xml:space="preserve">    </w:t>
      </w:r>
      <w:r>
        <w:tab/>
      </w:r>
      <w:r>
        <w:t>5.  Контроль за исполнением настоящего распоряжения оставляю за собой.</w:t>
      </w:r>
    </w:p>
    <w:p w14:paraId="232E0CA8">
      <w:pPr>
        <w:jc w:val="center"/>
        <w:rPr>
          <w:rFonts w:eastAsia="Calibri"/>
          <w:b/>
        </w:rPr>
      </w:pPr>
    </w:p>
    <w:p w14:paraId="40551F46">
      <w:pPr>
        <w:ind w:firstLine="709"/>
        <w:jc w:val="both"/>
        <w:rPr>
          <w:rFonts w:eastAsia="Calibri"/>
        </w:rPr>
      </w:pPr>
    </w:p>
    <w:p w14:paraId="1C9DA2BD">
      <w:pPr>
        <w:ind w:firstLine="708"/>
        <w:jc w:val="both"/>
        <w:rPr>
          <w:rFonts w:eastAsia="Calibri"/>
        </w:rPr>
      </w:pPr>
    </w:p>
    <w:tbl>
      <w:tblPr>
        <w:tblStyle w:val="22"/>
        <w:tblW w:w="1173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9"/>
        <w:gridCol w:w="2694"/>
      </w:tblGrid>
      <w:tr w14:paraId="25573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39" w:type="dxa"/>
          </w:tcPr>
          <w:p w14:paraId="6678EC1F">
            <w:pPr>
              <w:ind w:left="714" w:hanging="714"/>
              <w:jc w:val="both"/>
            </w:pPr>
            <w:r>
              <w:t>Глава</w:t>
            </w:r>
          </w:p>
          <w:p w14:paraId="48075BB2">
            <w:pPr>
              <w:ind w:left="714" w:hanging="714"/>
              <w:jc w:val="both"/>
            </w:pPr>
            <w:r>
              <w:t>сельского поселения Подстепки</w:t>
            </w:r>
          </w:p>
          <w:p w14:paraId="5D558DDC">
            <w:pPr>
              <w:ind w:left="714" w:hanging="714"/>
              <w:jc w:val="both"/>
            </w:pPr>
            <w:r>
              <w:t xml:space="preserve">муниципального района Ставропольский </w:t>
            </w:r>
          </w:p>
          <w:p w14:paraId="363014BA">
            <w:pPr>
              <w:ind w:left="714" w:hanging="714"/>
              <w:jc w:val="both"/>
            </w:pPr>
            <w:r>
              <w:t>Самарской области                                        ______________________О.В. Зюзин</w:t>
            </w:r>
          </w:p>
          <w:p w14:paraId="6D97FB4F">
            <w:pPr>
              <w:ind w:left="714" w:hanging="714"/>
              <w:jc w:val="both"/>
            </w:pPr>
          </w:p>
          <w:p w14:paraId="7A90FA6F">
            <w:pPr>
              <w:ind w:left="714" w:hanging="714"/>
              <w:jc w:val="both"/>
            </w:pPr>
          </w:p>
        </w:tc>
        <w:tc>
          <w:tcPr>
            <w:tcW w:w="2694" w:type="dxa"/>
          </w:tcPr>
          <w:p w14:paraId="26E47487">
            <w:pPr>
              <w:ind w:left="714" w:hanging="357"/>
              <w:jc w:val="right"/>
            </w:pPr>
            <w:r>
              <w:t>_______</w:t>
            </w:r>
          </w:p>
        </w:tc>
      </w:tr>
    </w:tbl>
    <w:p w14:paraId="03B37558">
      <w:pPr>
        <w:keepNext/>
        <w:keepLines/>
        <w:ind w:firstLine="709"/>
        <w:jc w:val="both"/>
        <w:outlineLvl w:val="2"/>
        <w:rPr>
          <w:b/>
          <w:bCs/>
          <w:sz w:val="28"/>
          <w:szCs w:val="28"/>
        </w:rPr>
        <w:sectPr>
          <w:pgSz w:w="11906" w:h="16838"/>
          <w:pgMar w:top="851" w:right="567" w:bottom="709" w:left="1276" w:header="709" w:footer="709" w:gutter="0"/>
          <w:cols w:space="708" w:num="1"/>
          <w:docGrid w:linePitch="360" w:charSpace="0"/>
        </w:sectPr>
      </w:pPr>
    </w:p>
    <w:bookmarkEnd w:id="0"/>
    <w:bookmarkEnd w:id="1"/>
    <w:tbl>
      <w:tblPr>
        <w:tblStyle w:val="22"/>
        <w:tblW w:w="15201" w:type="dxa"/>
        <w:tblInd w:w="39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4"/>
        <w:gridCol w:w="7547"/>
      </w:tblGrid>
      <w:tr w14:paraId="34609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c>
          <w:tcPr>
            <w:tcW w:w="7654" w:type="dxa"/>
          </w:tcPr>
          <w:p w14:paraId="2F20AA67">
            <w:pPr>
              <w:autoSpaceDE w:val="0"/>
              <w:spacing w:after="160" w:line="259" w:lineRule="auto"/>
              <w:ind w:left="714" w:hanging="357"/>
              <w:jc w:val="center"/>
              <w:rPr>
                <w:sz w:val="28"/>
                <w:szCs w:val="28"/>
              </w:rPr>
            </w:pPr>
          </w:p>
        </w:tc>
        <w:tc>
          <w:tcPr>
            <w:tcW w:w="7547" w:type="dxa"/>
          </w:tcPr>
          <w:p w14:paraId="0BB8E057">
            <w:pPr>
              <w:autoSpaceDE w:val="0"/>
              <w:ind w:left="714" w:hanging="357"/>
              <w:jc w:val="right"/>
            </w:pPr>
            <w:r>
              <w:t xml:space="preserve">Приложение </w:t>
            </w:r>
          </w:p>
          <w:p w14:paraId="1336032B">
            <w:pPr>
              <w:autoSpaceDE w:val="0"/>
              <w:ind w:left="714" w:hanging="357"/>
              <w:jc w:val="right"/>
            </w:pPr>
            <w:r>
              <w:t>к распоряжению администрации</w:t>
            </w:r>
          </w:p>
          <w:p w14:paraId="1A24429E">
            <w:pPr>
              <w:autoSpaceDE w:val="0"/>
              <w:ind w:left="714" w:hanging="357"/>
              <w:jc w:val="right"/>
            </w:pPr>
            <w:r>
              <w:t>сельского поселения Подстепки</w:t>
            </w:r>
          </w:p>
          <w:p w14:paraId="01ED8626">
            <w:pPr>
              <w:autoSpaceDE w:val="0"/>
              <w:ind w:left="714" w:hanging="357"/>
              <w:jc w:val="right"/>
            </w:pPr>
            <w:r>
              <w:t xml:space="preserve">муниципального района Ставропольский </w:t>
            </w:r>
          </w:p>
          <w:p w14:paraId="6A3B2DFD">
            <w:pPr>
              <w:autoSpaceDE w:val="0"/>
              <w:ind w:left="714" w:hanging="357"/>
              <w:jc w:val="right"/>
            </w:pPr>
            <w:r>
              <w:t xml:space="preserve">Самарской области </w:t>
            </w:r>
          </w:p>
          <w:p w14:paraId="7B6031BA">
            <w:pPr>
              <w:autoSpaceDE w:val="0"/>
              <w:ind w:left="714" w:hanging="357"/>
              <w:jc w:val="right"/>
              <w:rPr>
                <w:sz w:val="28"/>
                <w:szCs w:val="28"/>
              </w:rPr>
            </w:pPr>
            <w:r>
              <w:t xml:space="preserve">от </w:t>
            </w:r>
            <w:r>
              <w:rPr>
                <w:rFonts w:hint="default"/>
                <w:lang w:val="ru-RU"/>
              </w:rPr>
              <w:t>26.12.2025</w:t>
            </w:r>
            <w:bookmarkStart w:id="3" w:name="_GoBack"/>
            <w:bookmarkEnd w:id="3"/>
            <w:r>
              <w:t xml:space="preserve"> № 2/АК</w:t>
            </w:r>
          </w:p>
        </w:tc>
      </w:tr>
    </w:tbl>
    <w:p w14:paraId="79C8B128">
      <w:pPr>
        <w:jc w:val="center"/>
        <w:rPr>
          <w:rFonts w:eastAsia="Calibri"/>
          <w:b/>
          <w:sz w:val="28"/>
          <w:szCs w:val="28"/>
        </w:rPr>
      </w:pPr>
    </w:p>
    <w:p w14:paraId="6BCEED9A">
      <w:pPr>
        <w:jc w:val="center"/>
        <w:rPr>
          <w:rFonts w:eastAsia="Calibri"/>
          <w:b/>
        </w:rPr>
      </w:pPr>
    </w:p>
    <w:p w14:paraId="61472CCC">
      <w:pPr>
        <w:jc w:val="center"/>
        <w:rPr>
          <w:b/>
        </w:rPr>
      </w:pPr>
      <w:r>
        <w:rPr>
          <w:b/>
          <w:lang w:eastAsia="ru-RU"/>
        </w:rPr>
        <w:t xml:space="preserve">Перечень ключевых показателей эффективности функционирования в администрации сельского поселения Подстепки </w:t>
      </w:r>
      <w:r>
        <w:rPr>
          <w:b/>
        </w:rPr>
        <w:t>муниципального района Ставропольский</w:t>
      </w:r>
      <w:r>
        <w:rPr>
          <w:b/>
          <w:lang w:eastAsia="ru-RU"/>
        </w:rPr>
        <w:t xml:space="preserve"> </w:t>
      </w:r>
      <w:r>
        <w:rPr>
          <w:b/>
        </w:rPr>
        <w:t>Самарской области антимонопольного комплаенса на 2026 год</w:t>
      </w:r>
    </w:p>
    <w:p w14:paraId="028E657B">
      <w:pPr>
        <w:jc w:val="center"/>
        <w:rPr>
          <w:b/>
        </w:rPr>
      </w:pPr>
    </w:p>
    <w:tbl>
      <w:tblPr>
        <w:tblStyle w:val="3"/>
        <w:tblW w:w="4985" w:type="pct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06"/>
        <w:gridCol w:w="2746"/>
        <w:gridCol w:w="9920"/>
      </w:tblGrid>
      <w:tr w14:paraId="5C470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exact"/>
          <w:tblHeader/>
        </w:trPr>
        <w:tc>
          <w:tcPr>
            <w:tcW w:w="10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D7CB38">
            <w:pPr>
              <w:autoSpaceDE w:val="0"/>
              <w:jc w:val="center"/>
              <w:rPr>
                <w:lang w:eastAsia="ru-RU"/>
              </w:rPr>
            </w:pPr>
            <w:r>
              <w:rPr>
                <w:b/>
                <w:lang w:eastAsia="ru-RU"/>
              </w:rPr>
              <w:t>Наименование показателя</w:t>
            </w:r>
          </w:p>
        </w:tc>
        <w:tc>
          <w:tcPr>
            <w:tcW w:w="8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9BEB48">
            <w:pPr>
              <w:autoSpaceDE w:val="0"/>
              <w:jc w:val="center"/>
              <w:rPr>
                <w:b/>
                <w:lang w:eastAsia="ru-RU"/>
              </w:rPr>
            </w:pPr>
            <w:r>
              <w:rPr>
                <w:b/>
                <w:lang w:eastAsia="ru-RU"/>
              </w:rPr>
              <w:t>Целевое значение на 2026 год</w:t>
            </w:r>
          </w:p>
          <w:p w14:paraId="489DDBA8">
            <w:pPr>
              <w:autoSpaceDE w:val="0"/>
              <w:jc w:val="center"/>
              <w:rPr>
                <w:b/>
                <w:lang w:eastAsia="ru-RU"/>
              </w:rPr>
            </w:pPr>
          </w:p>
          <w:p w14:paraId="6B00A634">
            <w:pPr>
              <w:spacing w:line="360" w:lineRule="auto"/>
              <w:jc w:val="center"/>
              <w:rPr>
                <w:lang w:eastAsia="ru-RU"/>
              </w:rPr>
            </w:pPr>
          </w:p>
        </w:tc>
        <w:tc>
          <w:tcPr>
            <w:tcW w:w="31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F5017E">
            <w:pPr>
              <w:jc w:val="center"/>
              <w:rPr>
                <w:b/>
                <w:lang w:eastAsia="ru-RU"/>
              </w:rPr>
            </w:pPr>
            <w:r>
              <w:rPr>
                <w:b/>
                <w:lang w:eastAsia="ru-RU"/>
              </w:rPr>
              <w:t>Методика расчета</w:t>
            </w:r>
          </w:p>
        </w:tc>
      </w:tr>
      <w:tr w14:paraId="25FB0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10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0FAD29">
            <w:pPr>
              <w:jc w:val="center"/>
              <w:rPr>
                <w:lang w:eastAsia="ru-RU"/>
              </w:rPr>
            </w:pPr>
            <w:r>
              <w:rPr>
                <w:lang w:eastAsia="ru-RU"/>
              </w:rPr>
              <w:t>Количество нарушений антимонопольного законодательства, ед.</w:t>
            </w:r>
          </w:p>
        </w:tc>
        <w:tc>
          <w:tcPr>
            <w:tcW w:w="8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72C932">
            <w:pPr>
              <w:jc w:val="center"/>
              <w:rPr>
                <w:lang w:eastAsia="ru-RU"/>
              </w:rPr>
            </w:pPr>
            <w:r>
              <w:rPr>
                <w:lang w:eastAsia="ru-RU"/>
              </w:rPr>
              <w:t>0</w:t>
            </w:r>
          </w:p>
        </w:tc>
        <w:tc>
          <w:tcPr>
            <w:tcW w:w="31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9D720E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Показатель рассчитывается по формуле:</w:t>
            </w:r>
          </w:p>
          <w:p w14:paraId="792D7CB1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Кн=Квад+Кп+Кпон, где</w:t>
            </w:r>
          </w:p>
          <w:p w14:paraId="61158B02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КН-количество нарушений антимонопольного законодательства со стороны администрации;</w:t>
            </w:r>
          </w:p>
          <w:p w14:paraId="1282BD8C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Квад-количество возбужденных в отчетном году антимонопольным органом в отношении администрации антимонопольных дел;</w:t>
            </w:r>
          </w:p>
          <w:p w14:paraId="3CAE53F7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Кп-количество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14:paraId="06D7F5BD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Кпон-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14:paraId="0AE6C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6" w:hRule="atLeast"/>
        </w:trPr>
        <w:tc>
          <w:tcPr>
            <w:tcW w:w="1010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9480728">
            <w:pPr>
              <w:jc w:val="center"/>
              <w:rPr>
                <w:rFonts w:ascii="Calibri" w:hAnsi="Calibri"/>
                <w:lang w:eastAsia="ru-RU"/>
              </w:rPr>
            </w:pPr>
            <w:r>
              <w:rPr>
                <w:lang w:eastAsia="ru-RU"/>
              </w:rPr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B475A4E">
            <w:pPr>
              <w:jc w:val="center"/>
              <w:rPr>
                <w:lang w:eastAsia="ru-RU"/>
              </w:rPr>
            </w:pPr>
            <w:r>
              <w:rPr>
                <w:lang w:eastAsia="ru-RU"/>
              </w:rPr>
              <w:t>0</w:t>
            </w:r>
          </w:p>
        </w:tc>
        <w:tc>
          <w:tcPr>
            <w:tcW w:w="3125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B6034D6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Показатель рассчитывается по формуле:</w:t>
            </w:r>
          </w:p>
          <w:p w14:paraId="04D7A8B3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Днпа =   Кнпа / Кноп, где:</w:t>
            </w:r>
          </w:p>
          <w:p w14:paraId="606F7BEB">
            <w:pPr>
              <w:jc w:val="both"/>
              <w:rPr>
                <w:lang w:eastAsia="ru-RU"/>
              </w:rPr>
            </w:pPr>
          </w:p>
          <w:p w14:paraId="2FF1DC9C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Днпа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14:paraId="6CA91846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Кнпа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14:paraId="2E1519D6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КНоп – общее количество нормативных правовых актов, принятых администрацией в отчетном году (в отчетном периоде)</w:t>
            </w:r>
          </w:p>
          <w:p w14:paraId="7A8CE980">
            <w:pPr>
              <w:rPr>
                <w:rFonts w:ascii="Calibri" w:hAnsi="Calibri"/>
                <w:lang w:eastAsia="ru-RU"/>
              </w:rPr>
            </w:pPr>
          </w:p>
        </w:tc>
      </w:tr>
      <w:tr w14:paraId="2F9C6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" w:hRule="atLeast"/>
        </w:trPr>
        <w:tc>
          <w:tcPr>
            <w:tcW w:w="1010" w:type="pct"/>
            <w:tcBorders>
              <w:left w:val="single" w:color="auto" w:sz="4" w:space="0"/>
              <w:right w:val="single" w:color="auto" w:sz="4" w:space="0"/>
            </w:tcBorders>
          </w:tcPr>
          <w:p w14:paraId="536B9CB0">
            <w:pPr>
              <w:jc w:val="center"/>
              <w:rPr>
                <w:lang w:eastAsia="ru-RU"/>
              </w:rPr>
            </w:pPr>
            <w:r>
              <w:rPr>
                <w:lang w:eastAsia="ru-RU"/>
              </w:rPr>
              <w:t>Доля проектов муниципальных правовых актов, в которых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left w:val="single" w:color="auto" w:sz="4" w:space="0"/>
              <w:right w:val="single" w:color="auto" w:sz="4" w:space="0"/>
            </w:tcBorders>
          </w:tcPr>
          <w:p w14:paraId="6266E7CC">
            <w:pPr>
              <w:jc w:val="center"/>
              <w:rPr>
                <w:lang w:eastAsia="ru-RU"/>
              </w:rPr>
            </w:pPr>
            <w:r>
              <w:rPr>
                <w:lang w:eastAsia="ru-RU"/>
              </w:rPr>
              <w:t>0</w:t>
            </w:r>
          </w:p>
        </w:tc>
        <w:tc>
          <w:tcPr>
            <w:tcW w:w="31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D7717A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Показатель рассчитывается по формуле:</w:t>
            </w:r>
          </w:p>
          <w:p w14:paraId="04290C2C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 xml:space="preserve">Дпнпа = Кпнпа  / Кноп, где:  </w:t>
            </w:r>
          </w:p>
          <w:p w14:paraId="35C4A5F6">
            <w:pPr>
              <w:jc w:val="both"/>
              <w:rPr>
                <w:lang w:eastAsia="ru-RU"/>
              </w:rPr>
            </w:pPr>
          </w:p>
          <w:p w14:paraId="541FAE20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Дпнпа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14:paraId="5E67E0B5">
            <w:pPr>
              <w:jc w:val="both"/>
              <w:rPr>
                <w:lang w:eastAsia="ru-RU"/>
              </w:rPr>
            </w:pPr>
          </w:p>
          <w:p w14:paraId="52246CD9">
            <w:pPr>
              <w:spacing w:after="240" w:line="317" w:lineRule="exact"/>
              <w:jc w:val="both"/>
              <w:rPr>
                <w:lang w:eastAsia="ru-RU"/>
              </w:rPr>
            </w:pPr>
            <w:r>
              <w:rPr>
                <w:lang w:eastAsia="ru-RU"/>
              </w:rPr>
              <w:t>Кпнпа - количество проектов нормативных правовых актов 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14:paraId="5A70ACA7">
            <w:pPr>
              <w:jc w:val="both"/>
              <w:rPr>
                <w:lang w:eastAsia="ru-RU"/>
              </w:rPr>
            </w:pPr>
            <w:r>
              <w:rPr>
                <w:lang w:eastAsia="ru-RU"/>
              </w:rPr>
              <w:t>КНоп - общее количество нормативных правовых актов  администрации, разработанных в отчетном периоде.</w:t>
            </w:r>
          </w:p>
        </w:tc>
      </w:tr>
      <w:bookmarkEnd w:id="2"/>
    </w:tbl>
    <w:p w14:paraId="3E90D06C">
      <w:pPr>
        <w:jc w:val="center"/>
        <w:rPr>
          <w:rFonts w:eastAsia="Calibri"/>
          <w:b/>
        </w:rPr>
      </w:pPr>
    </w:p>
    <w:sectPr>
      <w:pgSz w:w="16838" w:h="11906" w:orient="landscape"/>
      <w:pgMar w:top="1276" w:right="425" w:bottom="567" w:left="709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Mangal">
    <w:altName w:val="Segoe Print"/>
    <w:panose1 w:val="00000400000000000000"/>
    <w:charset w:val="00"/>
    <w:family w:val="roman"/>
    <w:pitch w:val="default"/>
    <w:sig w:usb0="00000000" w:usb1="00000000" w:usb2="00000000" w:usb3="00000000" w:csb0="00000001" w:csb1="00000000"/>
  </w:font>
  <w:font w:name="MS Reference Sans Serif">
    <w:panose1 w:val="020B0604030504040204"/>
    <w:charset w:val="CC"/>
    <w:family w:val="swiss"/>
    <w:pitch w:val="default"/>
    <w:sig w:usb0="00000287" w:usb1="00000000" w:usb2="00000000" w:usb3="00000000" w:csb0="2000019F" w:csb1="00000000"/>
  </w:font>
  <w:font w:name="Tunga">
    <w:altName w:val="Segoe Print"/>
    <w:panose1 w:val="00000400000000000000"/>
    <w:charset w:val="00"/>
    <w:family w:val="swiss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41B"/>
    <w:rsid w:val="00000A2F"/>
    <w:rsid w:val="0001619F"/>
    <w:rsid w:val="00017741"/>
    <w:rsid w:val="0002081F"/>
    <w:rsid w:val="00024EC0"/>
    <w:rsid w:val="0002723B"/>
    <w:rsid w:val="00036E8E"/>
    <w:rsid w:val="00036EF8"/>
    <w:rsid w:val="00037733"/>
    <w:rsid w:val="000419B9"/>
    <w:rsid w:val="00052730"/>
    <w:rsid w:val="000613D2"/>
    <w:rsid w:val="0006237E"/>
    <w:rsid w:val="0006645D"/>
    <w:rsid w:val="00067B8F"/>
    <w:rsid w:val="00072A31"/>
    <w:rsid w:val="00074BF2"/>
    <w:rsid w:val="00076B03"/>
    <w:rsid w:val="00085152"/>
    <w:rsid w:val="000903A1"/>
    <w:rsid w:val="000964AC"/>
    <w:rsid w:val="000A18EB"/>
    <w:rsid w:val="000B26C1"/>
    <w:rsid w:val="000B69B9"/>
    <w:rsid w:val="000C18C8"/>
    <w:rsid w:val="000C5BF2"/>
    <w:rsid w:val="000C6837"/>
    <w:rsid w:val="000C780A"/>
    <w:rsid w:val="000D3623"/>
    <w:rsid w:val="000D4F97"/>
    <w:rsid w:val="000E246B"/>
    <w:rsid w:val="000E4AE6"/>
    <w:rsid w:val="000E630A"/>
    <w:rsid w:val="000E7E62"/>
    <w:rsid w:val="000F4B28"/>
    <w:rsid w:val="000F7FCD"/>
    <w:rsid w:val="00102EB9"/>
    <w:rsid w:val="00114501"/>
    <w:rsid w:val="00125CC5"/>
    <w:rsid w:val="001275B2"/>
    <w:rsid w:val="00130BA4"/>
    <w:rsid w:val="00131AD3"/>
    <w:rsid w:val="00134C21"/>
    <w:rsid w:val="00144F5D"/>
    <w:rsid w:val="0015303B"/>
    <w:rsid w:val="00161F00"/>
    <w:rsid w:val="00166E0B"/>
    <w:rsid w:val="00171DF0"/>
    <w:rsid w:val="001814EA"/>
    <w:rsid w:val="00184F2E"/>
    <w:rsid w:val="00193E4C"/>
    <w:rsid w:val="001948EA"/>
    <w:rsid w:val="001A179E"/>
    <w:rsid w:val="001B0E13"/>
    <w:rsid w:val="001B5A75"/>
    <w:rsid w:val="001C69F3"/>
    <w:rsid w:val="001D28B9"/>
    <w:rsid w:val="001D7B47"/>
    <w:rsid w:val="001E1C47"/>
    <w:rsid w:val="001E72FF"/>
    <w:rsid w:val="00201D16"/>
    <w:rsid w:val="00207782"/>
    <w:rsid w:val="00212B17"/>
    <w:rsid w:val="0022121C"/>
    <w:rsid w:val="00226B35"/>
    <w:rsid w:val="00235D06"/>
    <w:rsid w:val="002362BF"/>
    <w:rsid w:val="002367E1"/>
    <w:rsid w:val="0023699F"/>
    <w:rsid w:val="00237B70"/>
    <w:rsid w:val="002564D3"/>
    <w:rsid w:val="002633C4"/>
    <w:rsid w:val="0026381F"/>
    <w:rsid w:val="00263E3E"/>
    <w:rsid w:val="002659D6"/>
    <w:rsid w:val="00267357"/>
    <w:rsid w:val="0028059D"/>
    <w:rsid w:val="00284272"/>
    <w:rsid w:val="002B2BFA"/>
    <w:rsid w:val="002B54DC"/>
    <w:rsid w:val="002B55DD"/>
    <w:rsid w:val="002C7819"/>
    <w:rsid w:val="002D595B"/>
    <w:rsid w:val="002E0527"/>
    <w:rsid w:val="00306400"/>
    <w:rsid w:val="00315CE9"/>
    <w:rsid w:val="00316281"/>
    <w:rsid w:val="0031676D"/>
    <w:rsid w:val="00320E19"/>
    <w:rsid w:val="0033043B"/>
    <w:rsid w:val="003373DD"/>
    <w:rsid w:val="00341DBA"/>
    <w:rsid w:val="00343B97"/>
    <w:rsid w:val="00346884"/>
    <w:rsid w:val="003545EE"/>
    <w:rsid w:val="003577B3"/>
    <w:rsid w:val="00361250"/>
    <w:rsid w:val="00364698"/>
    <w:rsid w:val="0036552F"/>
    <w:rsid w:val="00365551"/>
    <w:rsid w:val="00391095"/>
    <w:rsid w:val="003A0E7B"/>
    <w:rsid w:val="003A795E"/>
    <w:rsid w:val="003C09A0"/>
    <w:rsid w:val="003C6FF4"/>
    <w:rsid w:val="003D4335"/>
    <w:rsid w:val="003E12B3"/>
    <w:rsid w:val="003E3A03"/>
    <w:rsid w:val="003E5A71"/>
    <w:rsid w:val="003F4DE7"/>
    <w:rsid w:val="004137D1"/>
    <w:rsid w:val="00421BA0"/>
    <w:rsid w:val="00423CBB"/>
    <w:rsid w:val="0043021A"/>
    <w:rsid w:val="0043437E"/>
    <w:rsid w:val="004414E5"/>
    <w:rsid w:val="00441A6A"/>
    <w:rsid w:val="00443022"/>
    <w:rsid w:val="0044311C"/>
    <w:rsid w:val="0046148D"/>
    <w:rsid w:val="004621BE"/>
    <w:rsid w:val="00462850"/>
    <w:rsid w:val="00471C25"/>
    <w:rsid w:val="00474F40"/>
    <w:rsid w:val="00482B96"/>
    <w:rsid w:val="004918E2"/>
    <w:rsid w:val="00494615"/>
    <w:rsid w:val="004961F2"/>
    <w:rsid w:val="004B005C"/>
    <w:rsid w:val="004B09B6"/>
    <w:rsid w:val="004B62F4"/>
    <w:rsid w:val="004D5F03"/>
    <w:rsid w:val="004D6577"/>
    <w:rsid w:val="004E0435"/>
    <w:rsid w:val="004E5E7F"/>
    <w:rsid w:val="004F0F82"/>
    <w:rsid w:val="00503966"/>
    <w:rsid w:val="00512B61"/>
    <w:rsid w:val="0052147A"/>
    <w:rsid w:val="00532836"/>
    <w:rsid w:val="005368E8"/>
    <w:rsid w:val="00540D71"/>
    <w:rsid w:val="00541504"/>
    <w:rsid w:val="005436CC"/>
    <w:rsid w:val="00547E48"/>
    <w:rsid w:val="005506B8"/>
    <w:rsid w:val="00560A98"/>
    <w:rsid w:val="00561AC6"/>
    <w:rsid w:val="00562527"/>
    <w:rsid w:val="00571BF5"/>
    <w:rsid w:val="00572A8C"/>
    <w:rsid w:val="00572DEF"/>
    <w:rsid w:val="00573984"/>
    <w:rsid w:val="00580EEB"/>
    <w:rsid w:val="00585881"/>
    <w:rsid w:val="005935DD"/>
    <w:rsid w:val="00593C36"/>
    <w:rsid w:val="005A785C"/>
    <w:rsid w:val="005C57B6"/>
    <w:rsid w:val="005C5A70"/>
    <w:rsid w:val="005C6D1B"/>
    <w:rsid w:val="005D0EC9"/>
    <w:rsid w:val="005D7BC7"/>
    <w:rsid w:val="005E0FA8"/>
    <w:rsid w:val="005E4EF2"/>
    <w:rsid w:val="005F1554"/>
    <w:rsid w:val="005F564F"/>
    <w:rsid w:val="0060028E"/>
    <w:rsid w:val="0060534B"/>
    <w:rsid w:val="0061623E"/>
    <w:rsid w:val="0062047D"/>
    <w:rsid w:val="006206E9"/>
    <w:rsid w:val="0063140E"/>
    <w:rsid w:val="00635A00"/>
    <w:rsid w:val="00637628"/>
    <w:rsid w:val="0064690B"/>
    <w:rsid w:val="00647F9F"/>
    <w:rsid w:val="006505F1"/>
    <w:rsid w:val="00651351"/>
    <w:rsid w:val="00655335"/>
    <w:rsid w:val="006656AF"/>
    <w:rsid w:val="00670D22"/>
    <w:rsid w:val="00684C42"/>
    <w:rsid w:val="006A4D06"/>
    <w:rsid w:val="006A5447"/>
    <w:rsid w:val="006C0ECE"/>
    <w:rsid w:val="006C379A"/>
    <w:rsid w:val="006D1F1A"/>
    <w:rsid w:val="006D1F98"/>
    <w:rsid w:val="006E1938"/>
    <w:rsid w:val="006F06F0"/>
    <w:rsid w:val="006F46E2"/>
    <w:rsid w:val="006F4A50"/>
    <w:rsid w:val="006F6B55"/>
    <w:rsid w:val="00700BA6"/>
    <w:rsid w:val="00703B6B"/>
    <w:rsid w:val="00703D45"/>
    <w:rsid w:val="00710CA8"/>
    <w:rsid w:val="00711EEA"/>
    <w:rsid w:val="0071338F"/>
    <w:rsid w:val="00716008"/>
    <w:rsid w:val="00721148"/>
    <w:rsid w:val="00725716"/>
    <w:rsid w:val="0073120F"/>
    <w:rsid w:val="007378CE"/>
    <w:rsid w:val="00750AA1"/>
    <w:rsid w:val="00754E36"/>
    <w:rsid w:val="00754E48"/>
    <w:rsid w:val="007554AA"/>
    <w:rsid w:val="007562A2"/>
    <w:rsid w:val="00762E3F"/>
    <w:rsid w:val="00774DBB"/>
    <w:rsid w:val="0077602F"/>
    <w:rsid w:val="00781D39"/>
    <w:rsid w:val="00785E9D"/>
    <w:rsid w:val="00790D65"/>
    <w:rsid w:val="007A0A45"/>
    <w:rsid w:val="007A339D"/>
    <w:rsid w:val="007A370A"/>
    <w:rsid w:val="007A4931"/>
    <w:rsid w:val="007B2277"/>
    <w:rsid w:val="007B61FD"/>
    <w:rsid w:val="007D30FE"/>
    <w:rsid w:val="007E274A"/>
    <w:rsid w:val="007E2A2A"/>
    <w:rsid w:val="007F7639"/>
    <w:rsid w:val="007F7F79"/>
    <w:rsid w:val="00810AD1"/>
    <w:rsid w:val="00815DBB"/>
    <w:rsid w:val="008256AA"/>
    <w:rsid w:val="00827271"/>
    <w:rsid w:val="0084272B"/>
    <w:rsid w:val="0088231B"/>
    <w:rsid w:val="008A152F"/>
    <w:rsid w:val="008A6C0D"/>
    <w:rsid w:val="008B1FA2"/>
    <w:rsid w:val="008B4DCF"/>
    <w:rsid w:val="008C53C6"/>
    <w:rsid w:val="008C5ACD"/>
    <w:rsid w:val="008D2D00"/>
    <w:rsid w:val="008D7DBD"/>
    <w:rsid w:val="008E7AC9"/>
    <w:rsid w:val="008E7D49"/>
    <w:rsid w:val="008F230A"/>
    <w:rsid w:val="008F4E36"/>
    <w:rsid w:val="008F6E56"/>
    <w:rsid w:val="00901475"/>
    <w:rsid w:val="00901F73"/>
    <w:rsid w:val="00902025"/>
    <w:rsid w:val="00904594"/>
    <w:rsid w:val="00904C09"/>
    <w:rsid w:val="00905F97"/>
    <w:rsid w:val="0091611F"/>
    <w:rsid w:val="00922CA7"/>
    <w:rsid w:val="00945A44"/>
    <w:rsid w:val="00947AD7"/>
    <w:rsid w:val="00954431"/>
    <w:rsid w:val="00960990"/>
    <w:rsid w:val="0099424B"/>
    <w:rsid w:val="00995716"/>
    <w:rsid w:val="009A25BA"/>
    <w:rsid w:val="009A4BA9"/>
    <w:rsid w:val="009A4EFC"/>
    <w:rsid w:val="009A7CC0"/>
    <w:rsid w:val="009B3D7B"/>
    <w:rsid w:val="009B45C0"/>
    <w:rsid w:val="009C2A68"/>
    <w:rsid w:val="009D1AC0"/>
    <w:rsid w:val="009E0A72"/>
    <w:rsid w:val="009E4C2F"/>
    <w:rsid w:val="009E5ABD"/>
    <w:rsid w:val="009F1AE8"/>
    <w:rsid w:val="009F4558"/>
    <w:rsid w:val="009F6972"/>
    <w:rsid w:val="00A025A0"/>
    <w:rsid w:val="00A34680"/>
    <w:rsid w:val="00A34C37"/>
    <w:rsid w:val="00A50FC1"/>
    <w:rsid w:val="00A53953"/>
    <w:rsid w:val="00A54D9D"/>
    <w:rsid w:val="00A70BCC"/>
    <w:rsid w:val="00A73640"/>
    <w:rsid w:val="00A77E87"/>
    <w:rsid w:val="00A86067"/>
    <w:rsid w:val="00A91F25"/>
    <w:rsid w:val="00A951E9"/>
    <w:rsid w:val="00A95EBC"/>
    <w:rsid w:val="00AA4DE2"/>
    <w:rsid w:val="00AA7E44"/>
    <w:rsid w:val="00AC1BDA"/>
    <w:rsid w:val="00AC4AA4"/>
    <w:rsid w:val="00AC79F9"/>
    <w:rsid w:val="00AD5FE7"/>
    <w:rsid w:val="00AE592C"/>
    <w:rsid w:val="00B000FD"/>
    <w:rsid w:val="00B01EFC"/>
    <w:rsid w:val="00B13631"/>
    <w:rsid w:val="00B1410A"/>
    <w:rsid w:val="00B222DF"/>
    <w:rsid w:val="00B44434"/>
    <w:rsid w:val="00B6261D"/>
    <w:rsid w:val="00B65070"/>
    <w:rsid w:val="00B65CB5"/>
    <w:rsid w:val="00B72C82"/>
    <w:rsid w:val="00B773A9"/>
    <w:rsid w:val="00BA148B"/>
    <w:rsid w:val="00BA2BA6"/>
    <w:rsid w:val="00BA3526"/>
    <w:rsid w:val="00BA5044"/>
    <w:rsid w:val="00BA7CAA"/>
    <w:rsid w:val="00BC43BA"/>
    <w:rsid w:val="00BD7619"/>
    <w:rsid w:val="00BE1FF4"/>
    <w:rsid w:val="00BF1113"/>
    <w:rsid w:val="00C05512"/>
    <w:rsid w:val="00C05536"/>
    <w:rsid w:val="00C11827"/>
    <w:rsid w:val="00C126FE"/>
    <w:rsid w:val="00C13935"/>
    <w:rsid w:val="00C175A9"/>
    <w:rsid w:val="00C20040"/>
    <w:rsid w:val="00C2241B"/>
    <w:rsid w:val="00C256B1"/>
    <w:rsid w:val="00C329A4"/>
    <w:rsid w:val="00C41DD8"/>
    <w:rsid w:val="00C4507E"/>
    <w:rsid w:val="00C61BA4"/>
    <w:rsid w:val="00C65A44"/>
    <w:rsid w:val="00C70291"/>
    <w:rsid w:val="00C86446"/>
    <w:rsid w:val="00C91456"/>
    <w:rsid w:val="00CC1086"/>
    <w:rsid w:val="00CD1428"/>
    <w:rsid w:val="00CE0F26"/>
    <w:rsid w:val="00CE5A9C"/>
    <w:rsid w:val="00CF4AEB"/>
    <w:rsid w:val="00CF6C47"/>
    <w:rsid w:val="00D2672F"/>
    <w:rsid w:val="00D3772C"/>
    <w:rsid w:val="00D43859"/>
    <w:rsid w:val="00D5564A"/>
    <w:rsid w:val="00D76390"/>
    <w:rsid w:val="00D7665B"/>
    <w:rsid w:val="00D81881"/>
    <w:rsid w:val="00D87482"/>
    <w:rsid w:val="00D954BA"/>
    <w:rsid w:val="00D978FE"/>
    <w:rsid w:val="00DA56A1"/>
    <w:rsid w:val="00DA60AB"/>
    <w:rsid w:val="00DB08A5"/>
    <w:rsid w:val="00DB31DC"/>
    <w:rsid w:val="00DB6337"/>
    <w:rsid w:val="00DB7B9C"/>
    <w:rsid w:val="00DD4538"/>
    <w:rsid w:val="00DD73C6"/>
    <w:rsid w:val="00DE11DD"/>
    <w:rsid w:val="00DE24BF"/>
    <w:rsid w:val="00DE7FA3"/>
    <w:rsid w:val="00DF0A7B"/>
    <w:rsid w:val="00DF4F89"/>
    <w:rsid w:val="00DF5A29"/>
    <w:rsid w:val="00E020B5"/>
    <w:rsid w:val="00E04C38"/>
    <w:rsid w:val="00E0563B"/>
    <w:rsid w:val="00E129F3"/>
    <w:rsid w:val="00E22AB1"/>
    <w:rsid w:val="00E37162"/>
    <w:rsid w:val="00E4115B"/>
    <w:rsid w:val="00E43C4F"/>
    <w:rsid w:val="00E47388"/>
    <w:rsid w:val="00E5039A"/>
    <w:rsid w:val="00E51F7E"/>
    <w:rsid w:val="00E553D4"/>
    <w:rsid w:val="00E72A28"/>
    <w:rsid w:val="00E81121"/>
    <w:rsid w:val="00E86B85"/>
    <w:rsid w:val="00E912FD"/>
    <w:rsid w:val="00E926DD"/>
    <w:rsid w:val="00E92880"/>
    <w:rsid w:val="00E94EFB"/>
    <w:rsid w:val="00EB1A36"/>
    <w:rsid w:val="00EB595C"/>
    <w:rsid w:val="00EC36E1"/>
    <w:rsid w:val="00EC4A44"/>
    <w:rsid w:val="00ED2ACA"/>
    <w:rsid w:val="00EE1A4E"/>
    <w:rsid w:val="00EF1F46"/>
    <w:rsid w:val="00EF78E5"/>
    <w:rsid w:val="00F001D9"/>
    <w:rsid w:val="00F03E93"/>
    <w:rsid w:val="00F12593"/>
    <w:rsid w:val="00F15253"/>
    <w:rsid w:val="00F1672A"/>
    <w:rsid w:val="00F20F89"/>
    <w:rsid w:val="00F2421F"/>
    <w:rsid w:val="00F472E5"/>
    <w:rsid w:val="00F47625"/>
    <w:rsid w:val="00F66C39"/>
    <w:rsid w:val="00F67A4A"/>
    <w:rsid w:val="00F700A1"/>
    <w:rsid w:val="00F70655"/>
    <w:rsid w:val="00F9162B"/>
    <w:rsid w:val="00F91812"/>
    <w:rsid w:val="00F9257F"/>
    <w:rsid w:val="00F944C2"/>
    <w:rsid w:val="00F96DDD"/>
    <w:rsid w:val="00FA148C"/>
    <w:rsid w:val="00FB435E"/>
    <w:rsid w:val="00FD11F5"/>
    <w:rsid w:val="00FD3C7D"/>
    <w:rsid w:val="00FD4264"/>
    <w:rsid w:val="00FE19E6"/>
    <w:rsid w:val="00FE254C"/>
    <w:rsid w:val="00FF1DE1"/>
    <w:rsid w:val="00FF55A8"/>
    <w:rsid w:val="00FF5A97"/>
    <w:rsid w:val="54F63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22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uppressAutoHyphens/>
    </w:pPr>
    <w:rPr>
      <w:rFonts w:ascii="Times New Roman" w:hAnsi="Times New Roman" w:eastAsia="Times New Roman" w:cs="Times New Roman"/>
      <w:sz w:val="24"/>
      <w:szCs w:val="24"/>
      <w:lang w:val="ru-RU" w:eastAsia="ar-SA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uiPriority w:val="99"/>
    <w:rPr>
      <w:rFonts w:cs="Times New Roman"/>
      <w:color w:val="0000FF"/>
      <w:u w:val="single"/>
    </w:rPr>
  </w:style>
  <w:style w:type="character" w:styleId="5">
    <w:name w:val="Strong"/>
    <w:basedOn w:val="2"/>
    <w:qFormat/>
    <w:locked/>
    <w:uiPriority w:val="22"/>
    <w:rPr>
      <w:b/>
      <w:bCs/>
    </w:rPr>
  </w:style>
  <w:style w:type="paragraph" w:styleId="6">
    <w:name w:val="Balloon Text"/>
    <w:basedOn w:val="1"/>
    <w:link w:val="13"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7">
    <w:name w:val="Body Text Indent 3"/>
    <w:basedOn w:val="1"/>
    <w:link w:val="19"/>
    <w:qFormat/>
    <w:uiPriority w:val="0"/>
    <w:pPr>
      <w:widowControl w:val="0"/>
      <w:suppressAutoHyphens w:val="0"/>
      <w:autoSpaceDE w:val="0"/>
      <w:autoSpaceDN w:val="0"/>
      <w:adjustRightInd w:val="0"/>
      <w:spacing w:after="120" w:line="300" w:lineRule="auto"/>
      <w:ind w:left="283" w:firstLine="160"/>
      <w:jc w:val="both"/>
    </w:pPr>
    <w:rPr>
      <w:rFonts w:ascii="Arial" w:hAnsi="Arial"/>
      <w:sz w:val="16"/>
      <w:szCs w:val="16"/>
      <w:lang w:val="zh-CN" w:eastAsia="zh-CN"/>
    </w:rPr>
  </w:style>
  <w:style w:type="paragraph" w:styleId="8">
    <w:name w:val="footer"/>
    <w:basedOn w:val="1"/>
    <w:link w:val="17"/>
    <w:unhideWhenUsed/>
    <w:qFormat/>
    <w:uiPriority w:val="99"/>
    <w:pPr>
      <w:tabs>
        <w:tab w:val="center" w:pos="4677"/>
        <w:tab w:val="right" w:pos="9355"/>
      </w:tabs>
    </w:pPr>
  </w:style>
  <w:style w:type="paragraph" w:styleId="9">
    <w:name w:val="Normal (Web)"/>
    <w:basedOn w:val="1"/>
    <w:semiHidden/>
    <w:unhideWhenUsed/>
    <w:qFormat/>
    <w:uiPriority w:val="99"/>
    <w:pPr>
      <w:suppressAutoHyphens w:val="0"/>
      <w:spacing w:before="100" w:beforeAutospacing="1" w:after="100" w:afterAutospacing="1"/>
    </w:pPr>
    <w:rPr>
      <w:lang w:eastAsia="ru-RU"/>
    </w:rPr>
  </w:style>
  <w:style w:type="table" w:styleId="10">
    <w:name w:val="Table Grid"/>
    <w:basedOn w:val="3"/>
    <w:qFormat/>
    <w:uiPriority w:val="99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paragraph" w:customStyle="1" w:styleId="12">
    <w:name w:val="Обратный адрес"/>
    <w:basedOn w:val="1"/>
    <w:qFormat/>
    <w:uiPriority w:val="99"/>
    <w:pPr>
      <w:keepLines/>
      <w:framePr w:w="2640" w:h="1018" w:hRule="exact" w:hSpace="180" w:wrap="notBeside" w:vAnchor="page" w:hAnchor="page" w:x="8821" w:y="721" w:anchorLock="1"/>
      <w:suppressAutoHyphens w:val="0"/>
      <w:spacing w:line="200" w:lineRule="atLeast"/>
      <w:ind w:right="-360"/>
    </w:pPr>
    <w:rPr>
      <w:rFonts w:eastAsia="Calibri"/>
      <w:sz w:val="16"/>
      <w:szCs w:val="20"/>
      <w:lang w:eastAsia="ru-RU"/>
    </w:rPr>
  </w:style>
  <w:style w:type="character" w:customStyle="1" w:styleId="13">
    <w:name w:val="Текст выноски Знак"/>
    <w:basedOn w:val="2"/>
    <w:link w:val="6"/>
    <w:semiHidden/>
    <w:qFormat/>
    <w:uiPriority w:val="99"/>
    <w:rPr>
      <w:rFonts w:ascii="Tahoma" w:hAnsi="Tahoma" w:eastAsia="Times New Roman" w:cs="Tahoma"/>
      <w:sz w:val="16"/>
      <w:szCs w:val="16"/>
      <w:lang w:eastAsia="ar-SA"/>
    </w:rPr>
  </w:style>
  <w:style w:type="character" w:customStyle="1" w:styleId="14">
    <w:name w:val="apple-converted-space"/>
    <w:basedOn w:val="2"/>
    <w:qFormat/>
    <w:uiPriority w:val="0"/>
  </w:style>
  <w:style w:type="paragraph" w:customStyle="1" w:styleId="15">
    <w:name w:val="Standard"/>
    <w:qFormat/>
    <w:uiPriority w:val="0"/>
    <w:pPr>
      <w:widowControl w:val="0"/>
      <w:suppressAutoHyphens/>
      <w:autoSpaceDN w:val="0"/>
      <w:textAlignment w:val="baseline"/>
    </w:pPr>
    <w:rPr>
      <w:rFonts w:ascii="Arial" w:hAnsi="Arial" w:eastAsia="SimSun" w:cs="Mangal"/>
      <w:kern w:val="3"/>
      <w:sz w:val="24"/>
      <w:szCs w:val="24"/>
      <w:lang w:val="ru-RU" w:eastAsia="zh-CN" w:bidi="hi-IN"/>
    </w:rPr>
  </w:style>
  <w:style w:type="character" w:customStyle="1" w:styleId="16">
    <w:name w:val="Основной шрифт абзаца1"/>
    <w:qFormat/>
    <w:uiPriority w:val="0"/>
  </w:style>
  <w:style w:type="character" w:customStyle="1" w:styleId="17">
    <w:name w:val="Нижний колонтитул Знак"/>
    <w:basedOn w:val="2"/>
    <w:link w:val="8"/>
    <w:qFormat/>
    <w:uiPriority w:val="99"/>
    <w:rPr>
      <w:rFonts w:ascii="Times New Roman" w:hAnsi="Times New Roman" w:eastAsia="Times New Roman"/>
      <w:sz w:val="24"/>
      <w:szCs w:val="24"/>
      <w:lang w:eastAsia="ar-SA"/>
    </w:rPr>
  </w:style>
  <w:style w:type="paragraph" w:customStyle="1" w:styleId="18">
    <w:name w:val="ConsPlusNormal"/>
    <w:qFormat/>
    <w:uiPriority w:val="0"/>
    <w:pPr>
      <w:widowControl w:val="0"/>
      <w:suppressAutoHyphens/>
      <w:autoSpaceDE w:val="0"/>
      <w:ind w:firstLine="720"/>
    </w:pPr>
    <w:rPr>
      <w:rFonts w:ascii="Arial" w:hAnsi="Arial" w:eastAsia="Calibri" w:cs="Arial"/>
      <w:sz w:val="24"/>
      <w:szCs w:val="24"/>
      <w:lang w:val="ru-RU" w:eastAsia="zh-CN" w:bidi="ar-SA"/>
    </w:rPr>
  </w:style>
  <w:style w:type="character" w:customStyle="1" w:styleId="19">
    <w:name w:val="Основной текст с отступом 3 Знак"/>
    <w:basedOn w:val="2"/>
    <w:link w:val="7"/>
    <w:qFormat/>
    <w:uiPriority w:val="0"/>
    <w:rPr>
      <w:rFonts w:ascii="Arial" w:hAnsi="Arial" w:eastAsia="Times New Roman"/>
      <w:sz w:val="16"/>
      <w:szCs w:val="16"/>
      <w:lang w:val="zh-CN" w:eastAsia="zh-CN"/>
    </w:rPr>
  </w:style>
  <w:style w:type="character" w:customStyle="1" w:styleId="20">
    <w:name w:val="Unresolved Mention"/>
    <w:basedOn w:val="2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Numbering Symbols"/>
    <w:qFormat/>
    <w:uiPriority w:val="0"/>
  </w:style>
  <w:style w:type="table" w:customStyle="1" w:styleId="22">
    <w:name w:val="Сетка таблицы1"/>
    <w:basedOn w:val="3"/>
    <w:qFormat/>
    <w:uiPriority w:val="59"/>
    <w:pPr>
      <w:ind w:left="714" w:hanging="357"/>
      <w:jc w:val="both"/>
    </w:pPr>
    <w:rPr>
      <w:lang w:eastAsia="en-US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1B7E22-AF93-4F2B-B465-ACD460116C3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SPecialiST RePack</Company>
  <Pages>4</Pages>
  <Words>779</Words>
  <Characters>4445</Characters>
  <Lines>37</Lines>
  <Paragraphs>10</Paragraphs>
  <TotalTime>2</TotalTime>
  <ScaleCrop>false</ScaleCrop>
  <LinksUpToDate>false</LinksUpToDate>
  <CharactersWithSpaces>5214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2026-01-12T20:48:00Z</dcterms:created>
  <dc:creator>Elena</dc:creator>
  <cp:lastModifiedBy>user</cp:lastModifiedBy>
  <cp:lastPrinted>2025-01-21T09:51:00Z</cp:lastPrinted>
  <dcterms:modified xsi:type="dcterms:W3CDTF">2026-01-13T11:13:46Z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1049-12.2.0.23196</vt:lpwstr>
  </property>
  <property fmtid="{D5CDD505-2E9C-101B-9397-08002B2CF9AE}" pid="3" name="ICV">
    <vt:lpwstr>DF032B57D6AF43DE9796CD810394ED81_13</vt:lpwstr>
  </property>
</Properties>
</file>